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5"/>
          <w:szCs w:val="25"/>
        </w:rPr>
      </w:pPr>
      <w:r w:rsidDel="00000000" w:rsidR="00000000" w:rsidRPr="00000000">
        <w:rPr>
          <w:b w:val="1"/>
          <w:rtl w:val="0"/>
        </w:rPr>
        <w:t xml:space="preserve">Day 6 </w:t>
      </w:r>
      <w:r w:rsidDel="00000000" w:rsidR="00000000" w:rsidRPr="00000000">
        <w:rPr>
          <w:rFonts w:ascii="Calibri" w:cs="Calibri" w:eastAsia="Calibri" w:hAnsi="Calibri"/>
          <w:b w:val="1"/>
          <w:sz w:val="25"/>
          <w:szCs w:val="25"/>
          <w:rtl w:val="0"/>
        </w:rPr>
        <w:t xml:space="preserve">Write Data with Custom Data Types​</w:t>
      </w:r>
    </w:p>
    <w:p w:rsidR="00000000" w:rsidDel="00000000" w:rsidP="00000000" w:rsidRDefault="00000000" w:rsidRPr="00000000" w14:paraId="00000002">
      <w:pPr>
        <w:jc w:val="left"/>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5"/>
          <w:szCs w:val="25"/>
        </w:rPr>
      </w:pPr>
      <w:r w:rsidDel="00000000" w:rsidR="00000000" w:rsidRPr="00000000">
        <w:rPr>
          <w:rtl w:val="0"/>
        </w:rPr>
      </w:r>
    </w:p>
    <w:p w:rsidR="00000000" w:rsidDel="00000000" w:rsidP="00000000" w:rsidRDefault="00000000" w:rsidRPr="00000000" w14:paraId="00000004">
      <w:pPr>
        <w:rPr>
          <w:color w:val="222222"/>
          <w:sz w:val="23"/>
          <w:szCs w:val="23"/>
          <w:highlight w:val="white"/>
        </w:rPr>
      </w:pPr>
      <w:r w:rsidDel="00000000" w:rsidR="00000000" w:rsidRPr="00000000">
        <w:rPr>
          <w:color w:val="222222"/>
          <w:sz w:val="23"/>
          <w:szCs w:val="23"/>
          <w:highlight w:val="white"/>
          <w:rtl w:val="0"/>
        </w:rPr>
        <w:t xml:space="preserve">Un tipo de datos personalizado (CDT) es una estructura de datos definida por el diseñador que representa una agrupación lógica de datos relacionados. Los CDT se pueden usar para leer y escribir en una tabla de base de datos, para almacenar información dentro de un proceso o para definir entradas o salidas de un </w:t>
      </w:r>
      <w:hyperlink r:id="rId6">
        <w:r w:rsidDel="00000000" w:rsidR="00000000" w:rsidRPr="00000000">
          <w:rPr>
            <w:sz w:val="23"/>
            <w:szCs w:val="23"/>
            <w:highlight w:val="white"/>
            <w:rtl w:val="0"/>
          </w:rPr>
          <w:t xml:space="preserve">servicio web</w:t>
        </w:r>
      </w:hyperlink>
      <w:r w:rsidDel="00000000" w:rsidR="00000000" w:rsidRPr="00000000">
        <w:rPr>
          <w:color w:val="222222"/>
          <w:sz w:val="23"/>
          <w:szCs w:val="23"/>
          <w:highlight w:val="white"/>
          <w:rtl w:val="0"/>
        </w:rPr>
        <w:t xml:space="preserve"> o </w:t>
      </w:r>
      <w:hyperlink r:id="rId7">
        <w:r w:rsidDel="00000000" w:rsidR="00000000" w:rsidRPr="00000000">
          <w:rPr>
            <w:sz w:val="23"/>
            <w:szCs w:val="23"/>
            <w:highlight w:val="white"/>
            <w:rtl w:val="0"/>
          </w:rPr>
          <w:t xml:space="preserve">complemento de Appian</w:t>
        </w:r>
      </w:hyperlink>
      <w:r w:rsidDel="00000000" w:rsidR="00000000" w:rsidRPr="00000000">
        <w:rPr>
          <w:color w:val="222222"/>
          <w:sz w:val="23"/>
          <w:szCs w:val="23"/>
          <w:highlight w:val="white"/>
          <w:rtl w:val="0"/>
        </w:rPr>
        <w:t xml:space="preserve">.</w:t>
      </w:r>
    </w:p>
    <w:p w:rsidR="00000000" w:rsidDel="00000000" w:rsidP="00000000" w:rsidRDefault="00000000" w:rsidRPr="00000000" w14:paraId="00000005">
      <w:pPr>
        <w:rPr>
          <w:color w:val="222222"/>
          <w:sz w:val="23"/>
          <w:szCs w:val="23"/>
          <w:highlight w:val="white"/>
        </w:rPr>
      </w:pPr>
      <w:r w:rsidDel="00000000" w:rsidR="00000000" w:rsidRPr="00000000">
        <w:rPr>
          <w:rtl w:val="0"/>
        </w:rPr>
      </w:r>
    </w:p>
    <w:p w:rsidR="00000000" w:rsidDel="00000000" w:rsidP="00000000" w:rsidRDefault="00000000" w:rsidRPr="00000000" w14:paraId="00000006">
      <w:pPr>
        <w:rPr>
          <w:color w:val="222222"/>
          <w:sz w:val="23"/>
          <w:szCs w:val="23"/>
          <w:highlight w:val="white"/>
        </w:rPr>
      </w:pPr>
      <w:r w:rsidDel="00000000" w:rsidR="00000000" w:rsidRPr="00000000">
        <w:rPr>
          <w:color w:val="222222"/>
          <w:sz w:val="23"/>
          <w:szCs w:val="23"/>
          <w:highlight w:val="white"/>
          <w:rtl w:val="0"/>
        </w:rPr>
        <w:t xml:space="preserve">El almacén de datos es la conexión que comunica los datos de registro modificados de un CDT a un base de datos relacional.</w:t>
      </w:r>
    </w:p>
    <w:p w:rsidR="00000000" w:rsidDel="00000000" w:rsidP="00000000" w:rsidRDefault="00000000" w:rsidRPr="00000000" w14:paraId="00000007">
      <w:pPr>
        <w:rPr>
          <w:color w:val="222222"/>
          <w:sz w:val="23"/>
          <w:szCs w:val="23"/>
          <w:highlight w:val="white"/>
        </w:rPr>
      </w:pPr>
      <w:r w:rsidDel="00000000" w:rsidR="00000000" w:rsidRPr="00000000">
        <w:rPr>
          <w:rtl w:val="0"/>
        </w:rPr>
      </w:r>
    </w:p>
    <w:p w:rsidR="00000000" w:rsidDel="00000000" w:rsidP="00000000" w:rsidRDefault="00000000" w:rsidRPr="00000000" w14:paraId="00000008">
      <w:pPr>
        <w:rPr>
          <w:color w:val="222222"/>
          <w:sz w:val="23"/>
          <w:szCs w:val="23"/>
          <w:highlight w:val="white"/>
        </w:rPr>
      </w:pPr>
      <w:r w:rsidDel="00000000" w:rsidR="00000000" w:rsidRPr="00000000">
        <w:rPr>
          <w:color w:val="222222"/>
          <w:sz w:val="23"/>
          <w:szCs w:val="23"/>
          <w:highlight w:val="white"/>
          <w:rtl w:val="0"/>
        </w:rPr>
        <w:t xml:space="preserve">Los tipos de registro son una forma eficiente de consultar y relacionar datos de diferentes tablas mientras que los CDT se utilizan para insertar, modificar y eliminar datos de una tabla </w:t>
        <w:tab/>
      </w:r>
    </w:p>
    <w:p w:rsidR="00000000" w:rsidDel="00000000" w:rsidP="00000000" w:rsidRDefault="00000000" w:rsidRPr="00000000" w14:paraId="00000009">
      <w:pPr>
        <w:rPr>
          <w:color w:val="222222"/>
          <w:sz w:val="23"/>
          <w:szCs w:val="23"/>
          <w:highlight w:val="white"/>
        </w:rPr>
      </w:pPr>
      <w:r w:rsidDel="00000000" w:rsidR="00000000" w:rsidRPr="00000000">
        <w:rPr>
          <w:rtl w:val="0"/>
        </w:rPr>
      </w:r>
    </w:p>
    <w:p w:rsidR="00000000" w:rsidDel="00000000" w:rsidP="00000000" w:rsidRDefault="00000000" w:rsidRPr="00000000" w14:paraId="0000000A">
      <w:pPr>
        <w:rPr>
          <w:color w:val="222222"/>
          <w:sz w:val="23"/>
          <w:szCs w:val="23"/>
          <w:highlight w:val="white"/>
        </w:rPr>
      </w:pPr>
      <w:r w:rsidDel="00000000" w:rsidR="00000000" w:rsidRPr="00000000">
        <w:rPr>
          <w:color w:val="222222"/>
          <w:sz w:val="23"/>
          <w:szCs w:val="23"/>
          <w:highlight w:val="white"/>
          <w:rtl w:val="0"/>
        </w:rPr>
        <w:t xml:space="preserve">Los CDT se pueden crear utilizando 5 métodos :</w:t>
      </w:r>
    </w:p>
    <w:p w:rsidR="00000000" w:rsidDel="00000000" w:rsidP="00000000" w:rsidRDefault="00000000" w:rsidRPr="00000000" w14:paraId="0000000B">
      <w:pPr>
        <w:rPr>
          <w:color w:val="222222"/>
          <w:sz w:val="23"/>
          <w:szCs w:val="23"/>
          <w:highlight w:val="white"/>
        </w:rPr>
      </w:pPr>
      <w:r w:rsidDel="00000000" w:rsidR="00000000" w:rsidRPr="00000000">
        <w:rPr>
          <w:rtl w:val="0"/>
        </w:rPr>
      </w:r>
    </w:p>
    <w:p w:rsidR="00000000" w:rsidDel="00000000" w:rsidP="00000000" w:rsidRDefault="00000000" w:rsidRPr="00000000" w14:paraId="0000000C">
      <w:pPr>
        <w:numPr>
          <w:ilvl w:val="0"/>
          <w:numId w:val="1"/>
        </w:numPr>
        <w:ind w:left="720" w:hanging="360"/>
        <w:rPr>
          <w:color w:val="222222"/>
          <w:sz w:val="23"/>
          <w:szCs w:val="23"/>
          <w:highlight w:val="white"/>
          <w:u w:val="none"/>
        </w:rPr>
      </w:pPr>
      <w:r w:rsidDel="00000000" w:rsidR="00000000" w:rsidRPr="00000000">
        <w:rPr>
          <w:color w:val="222222"/>
          <w:sz w:val="23"/>
          <w:szCs w:val="23"/>
          <w:highlight w:val="white"/>
          <w:rtl w:val="0"/>
        </w:rPr>
        <w:t xml:space="preserve">Automáticamente al crear un accion de registro </w:t>
      </w:r>
    </w:p>
    <w:p w:rsidR="00000000" w:rsidDel="00000000" w:rsidP="00000000" w:rsidRDefault="00000000" w:rsidRPr="00000000" w14:paraId="0000000D">
      <w:pPr>
        <w:numPr>
          <w:ilvl w:val="0"/>
          <w:numId w:val="1"/>
        </w:numPr>
        <w:ind w:left="720" w:hanging="360"/>
        <w:rPr>
          <w:color w:val="222222"/>
          <w:sz w:val="23"/>
          <w:szCs w:val="23"/>
          <w:highlight w:val="white"/>
          <w:u w:val="none"/>
        </w:rPr>
      </w:pPr>
      <w:r w:rsidDel="00000000" w:rsidR="00000000" w:rsidRPr="00000000">
        <w:rPr>
          <w:color w:val="222222"/>
          <w:sz w:val="23"/>
          <w:szCs w:val="23"/>
          <w:highlight w:val="white"/>
          <w:rtl w:val="0"/>
        </w:rPr>
        <w:t xml:space="preserve">Desde cero </w:t>
      </w:r>
    </w:p>
    <w:p w:rsidR="00000000" w:rsidDel="00000000" w:rsidP="00000000" w:rsidRDefault="00000000" w:rsidRPr="00000000" w14:paraId="0000000E">
      <w:pPr>
        <w:numPr>
          <w:ilvl w:val="0"/>
          <w:numId w:val="1"/>
        </w:numPr>
        <w:ind w:left="720" w:hanging="360"/>
        <w:rPr>
          <w:color w:val="222222"/>
          <w:sz w:val="23"/>
          <w:szCs w:val="23"/>
          <w:highlight w:val="white"/>
          <w:u w:val="none"/>
        </w:rPr>
      </w:pPr>
      <w:r w:rsidDel="00000000" w:rsidR="00000000" w:rsidRPr="00000000">
        <w:rPr>
          <w:color w:val="222222"/>
          <w:sz w:val="23"/>
          <w:szCs w:val="23"/>
          <w:highlight w:val="white"/>
          <w:rtl w:val="0"/>
        </w:rPr>
        <w:t xml:space="preserve">Duplicando de un CDT existente</w:t>
      </w:r>
    </w:p>
    <w:p w:rsidR="00000000" w:rsidDel="00000000" w:rsidP="00000000" w:rsidRDefault="00000000" w:rsidRPr="00000000" w14:paraId="0000000F">
      <w:pPr>
        <w:numPr>
          <w:ilvl w:val="0"/>
          <w:numId w:val="1"/>
        </w:numPr>
        <w:ind w:left="720" w:hanging="360"/>
        <w:rPr>
          <w:color w:val="222222"/>
          <w:sz w:val="23"/>
          <w:szCs w:val="23"/>
          <w:highlight w:val="white"/>
          <w:u w:val="none"/>
        </w:rPr>
      </w:pPr>
      <w:r w:rsidDel="00000000" w:rsidR="00000000" w:rsidRPr="00000000">
        <w:rPr>
          <w:color w:val="222222"/>
          <w:sz w:val="23"/>
          <w:szCs w:val="23"/>
          <w:highlight w:val="white"/>
          <w:rtl w:val="0"/>
        </w:rPr>
        <w:t xml:space="preserve">Desde una tabla o vista de base de datos </w:t>
      </w:r>
    </w:p>
    <w:p w:rsidR="00000000" w:rsidDel="00000000" w:rsidP="00000000" w:rsidRDefault="00000000" w:rsidRPr="00000000" w14:paraId="00000010">
      <w:pPr>
        <w:numPr>
          <w:ilvl w:val="0"/>
          <w:numId w:val="1"/>
        </w:numPr>
        <w:ind w:left="720" w:hanging="360"/>
        <w:rPr>
          <w:color w:val="222222"/>
          <w:sz w:val="23"/>
          <w:szCs w:val="23"/>
          <w:highlight w:val="white"/>
          <w:u w:val="none"/>
        </w:rPr>
      </w:pPr>
      <w:r w:rsidDel="00000000" w:rsidR="00000000" w:rsidRPr="00000000">
        <w:rPr>
          <w:color w:val="222222"/>
          <w:sz w:val="23"/>
          <w:szCs w:val="23"/>
          <w:highlight w:val="white"/>
          <w:rtl w:val="0"/>
        </w:rPr>
        <w:t xml:space="preserve">Desde un archivo XSD</w:t>
      </w:r>
    </w:p>
    <w:p w:rsidR="00000000" w:rsidDel="00000000" w:rsidP="00000000" w:rsidRDefault="00000000" w:rsidRPr="00000000" w14:paraId="00000011">
      <w:pPr>
        <w:ind w:left="720" w:firstLine="0"/>
        <w:rPr>
          <w:color w:val="222222"/>
          <w:sz w:val="23"/>
          <w:szCs w:val="23"/>
          <w:highlight w:val="white"/>
        </w:rPr>
      </w:pPr>
      <w:r w:rsidDel="00000000" w:rsidR="00000000" w:rsidRPr="00000000">
        <w:rPr>
          <w:rtl w:val="0"/>
        </w:rPr>
      </w:r>
    </w:p>
    <w:p w:rsidR="00000000" w:rsidDel="00000000" w:rsidP="00000000" w:rsidRDefault="00000000" w:rsidRPr="00000000" w14:paraId="00000012">
      <w:pPr>
        <w:rPr>
          <w:color w:val="222222"/>
          <w:sz w:val="23"/>
          <w:szCs w:val="23"/>
          <w:highlight w:val="white"/>
        </w:rPr>
      </w:pPr>
      <w:r w:rsidDel="00000000" w:rsidR="00000000" w:rsidRPr="00000000">
        <w:rPr>
          <w:color w:val="222222"/>
          <w:sz w:val="23"/>
          <w:szCs w:val="23"/>
          <w:highlight w:val="white"/>
          <w:rtl w:val="0"/>
        </w:rPr>
        <w:t xml:space="preserve">Todos los CDT a los que hagamos referencia en un almacén de datos deben tener clave principal, normalmente una aplicación tendrá un almacén de datos para todas la tablas de un origen de datos específico, los CDT que creemos se agregan al almacén de datos como entidades.</w:t>
      </w:r>
    </w:p>
    <w:p w:rsidR="00000000" w:rsidDel="00000000" w:rsidP="00000000" w:rsidRDefault="00000000" w:rsidRPr="00000000" w14:paraId="00000013">
      <w:pPr>
        <w:rPr>
          <w:color w:val="222222"/>
          <w:sz w:val="23"/>
          <w:szCs w:val="23"/>
          <w:highlight w:val="white"/>
        </w:rPr>
      </w:pPr>
      <w:r w:rsidDel="00000000" w:rsidR="00000000" w:rsidRPr="00000000">
        <w:rPr>
          <w:rtl w:val="0"/>
        </w:rPr>
      </w:r>
    </w:p>
    <w:p w:rsidR="00000000" w:rsidDel="00000000" w:rsidP="00000000" w:rsidRDefault="00000000" w:rsidRPr="00000000" w14:paraId="00000014">
      <w:pPr>
        <w:rPr>
          <w:color w:val="222222"/>
          <w:sz w:val="23"/>
          <w:szCs w:val="23"/>
          <w:highlight w:val="white"/>
        </w:rPr>
      </w:pPr>
      <w:r w:rsidDel="00000000" w:rsidR="00000000" w:rsidRPr="00000000">
        <w:rPr>
          <w:color w:val="222222"/>
          <w:sz w:val="23"/>
          <w:szCs w:val="23"/>
          <w:highlight w:val="white"/>
          <w:rtl w:val="0"/>
        </w:rPr>
        <w:t xml:space="preserve">El metodo mas comun para editar un CDT es implementar primero los cambios en la base de datos y a continuación actualizar el CDT mediante el archivo XSD</w:t>
      </w:r>
    </w:p>
    <w:p w:rsidR="00000000" w:rsidDel="00000000" w:rsidP="00000000" w:rsidRDefault="00000000" w:rsidRPr="00000000" w14:paraId="00000015">
      <w:pPr>
        <w:rPr>
          <w:color w:val="222222"/>
          <w:sz w:val="23"/>
          <w:szCs w:val="23"/>
          <w:highlight w:val="white"/>
        </w:rPr>
      </w:pPr>
      <w:r w:rsidDel="00000000" w:rsidR="00000000" w:rsidRPr="00000000">
        <w:rPr>
          <w:rtl w:val="0"/>
        </w:rPr>
      </w:r>
    </w:p>
    <w:p w:rsidR="00000000" w:rsidDel="00000000" w:rsidP="00000000" w:rsidRDefault="00000000" w:rsidRPr="00000000" w14:paraId="00000016">
      <w:pPr>
        <w:rPr>
          <w:color w:val="222222"/>
          <w:sz w:val="23"/>
          <w:szCs w:val="23"/>
          <w:highlight w:val="white"/>
        </w:rPr>
      </w:pPr>
      <w:r w:rsidDel="00000000" w:rsidR="00000000" w:rsidRPr="00000000">
        <w:rPr>
          <w:rtl w:val="0"/>
        </w:rPr>
      </w:r>
    </w:p>
    <w:p w:rsidR="00000000" w:rsidDel="00000000" w:rsidP="00000000" w:rsidRDefault="00000000" w:rsidRPr="00000000" w14:paraId="00000017">
      <w:pPr>
        <w:jc w:val="center"/>
        <w:rPr>
          <w:b w:val="1"/>
          <w:color w:val="222222"/>
          <w:sz w:val="23"/>
          <w:szCs w:val="23"/>
          <w:highlight w:val="white"/>
        </w:rPr>
      </w:pPr>
      <w:r w:rsidDel="00000000" w:rsidR="00000000" w:rsidRPr="00000000">
        <w:rPr>
          <w:b w:val="1"/>
          <w:color w:val="222222"/>
          <w:sz w:val="23"/>
          <w:szCs w:val="23"/>
          <w:highlight w:val="white"/>
          <w:rtl w:val="0"/>
        </w:rPr>
        <w:t xml:space="preserve">Query Your Data</w:t>
      </w:r>
    </w:p>
    <w:p w:rsidR="00000000" w:rsidDel="00000000" w:rsidP="00000000" w:rsidRDefault="00000000" w:rsidRPr="00000000" w14:paraId="00000018">
      <w:pPr>
        <w:jc w:val="center"/>
        <w:rPr>
          <w:b w:val="1"/>
          <w:color w:val="222222"/>
          <w:sz w:val="23"/>
          <w:szCs w:val="23"/>
          <w:highlight w:val="white"/>
        </w:rPr>
      </w:pPr>
      <w:r w:rsidDel="00000000" w:rsidR="00000000" w:rsidRPr="00000000">
        <w:rPr>
          <w:rtl w:val="0"/>
        </w:rPr>
      </w:r>
    </w:p>
    <w:p w:rsidR="00000000" w:rsidDel="00000000" w:rsidP="00000000" w:rsidRDefault="00000000" w:rsidRPr="00000000" w14:paraId="00000019">
      <w:pPr>
        <w:rPr>
          <w:color w:val="222222"/>
          <w:sz w:val="23"/>
          <w:szCs w:val="23"/>
          <w:highlight w:val="white"/>
        </w:rPr>
      </w:pPr>
      <w:r w:rsidDel="00000000" w:rsidR="00000000" w:rsidRPr="00000000">
        <w:rPr>
          <w:rtl w:val="0"/>
        </w:rPr>
      </w:r>
    </w:p>
    <w:p w:rsidR="00000000" w:rsidDel="00000000" w:rsidP="00000000" w:rsidRDefault="00000000" w:rsidRPr="00000000" w14:paraId="0000001A">
      <w:pPr>
        <w:rPr>
          <w:color w:val="222222"/>
          <w:sz w:val="23"/>
          <w:szCs w:val="23"/>
          <w:highlight w:val="white"/>
        </w:rPr>
      </w:pPr>
      <w:r w:rsidDel="00000000" w:rsidR="00000000" w:rsidRPr="00000000">
        <w:rPr>
          <w:color w:val="222222"/>
          <w:sz w:val="23"/>
          <w:szCs w:val="23"/>
          <w:highlight w:val="white"/>
          <w:rtl w:val="0"/>
        </w:rPr>
        <w:t xml:space="preserve">Las consultan se usan para devolver datos en un conjunto específico de criterios. </w:t>
      </w:r>
    </w:p>
    <w:p w:rsidR="00000000" w:rsidDel="00000000" w:rsidP="00000000" w:rsidRDefault="00000000" w:rsidRPr="00000000" w14:paraId="0000001B">
      <w:pPr>
        <w:rPr>
          <w:color w:val="222222"/>
          <w:sz w:val="23"/>
          <w:szCs w:val="23"/>
          <w:highlight w:val="white"/>
        </w:rPr>
      </w:pPr>
      <w:r w:rsidDel="00000000" w:rsidR="00000000" w:rsidRPr="00000000">
        <w:rPr>
          <w:rtl w:val="0"/>
        </w:rPr>
      </w:r>
    </w:p>
    <w:p w:rsidR="00000000" w:rsidDel="00000000" w:rsidP="00000000" w:rsidRDefault="00000000" w:rsidRPr="00000000" w14:paraId="0000001C">
      <w:pPr>
        <w:rPr>
          <w:color w:val="222222"/>
          <w:sz w:val="23"/>
          <w:szCs w:val="23"/>
          <w:highlight w:val="white"/>
        </w:rPr>
      </w:pPr>
      <w:r w:rsidDel="00000000" w:rsidR="00000000" w:rsidRPr="00000000">
        <w:rPr>
          <w:color w:val="222222"/>
          <w:sz w:val="23"/>
          <w:szCs w:val="23"/>
          <w:highlight w:val="white"/>
          <w:rtl w:val="0"/>
        </w:rPr>
        <w:t xml:space="preserve">En appian podemos consultar tipos de registros con la función </w:t>
      </w:r>
      <w:r w:rsidDel="00000000" w:rsidR="00000000" w:rsidRPr="00000000">
        <w:rPr>
          <w:b w:val="1"/>
          <w:color w:val="222222"/>
          <w:sz w:val="23"/>
          <w:szCs w:val="23"/>
          <w:highlight w:val="white"/>
          <w:rtl w:val="0"/>
        </w:rPr>
        <w:t xml:space="preserve">a!queryRecordType() </w:t>
      </w:r>
      <w:r w:rsidDel="00000000" w:rsidR="00000000" w:rsidRPr="00000000">
        <w:rPr>
          <w:color w:val="222222"/>
          <w:sz w:val="23"/>
          <w:szCs w:val="23"/>
          <w:highlight w:val="white"/>
          <w:rtl w:val="0"/>
        </w:rPr>
        <w:t xml:space="preserve">esto le permite consultar datos de una base de datos así como salesforce y otros servicios web cuando el tipo de registro tiene habilitada la sincronización de datos </w:t>
      </w:r>
    </w:p>
    <w:p w:rsidR="00000000" w:rsidDel="00000000" w:rsidP="00000000" w:rsidRDefault="00000000" w:rsidRPr="00000000" w14:paraId="0000001D">
      <w:pPr>
        <w:rPr>
          <w:color w:val="222222"/>
          <w:sz w:val="23"/>
          <w:szCs w:val="23"/>
          <w:highlight w:val="white"/>
        </w:rPr>
      </w:pPr>
      <w:r w:rsidDel="00000000" w:rsidR="00000000" w:rsidRPr="00000000">
        <w:rPr>
          <w:rtl w:val="0"/>
        </w:rPr>
      </w:r>
    </w:p>
    <w:p w:rsidR="00000000" w:rsidDel="00000000" w:rsidP="00000000" w:rsidRDefault="00000000" w:rsidRPr="00000000" w14:paraId="0000001E">
      <w:pPr>
        <w:rPr>
          <w:color w:val="222222"/>
          <w:sz w:val="23"/>
          <w:szCs w:val="23"/>
          <w:highlight w:val="white"/>
        </w:rPr>
      </w:pPr>
      <w:r w:rsidDel="00000000" w:rsidR="00000000" w:rsidRPr="00000000">
        <w:rPr>
          <w:color w:val="222222"/>
          <w:sz w:val="23"/>
          <w:szCs w:val="23"/>
          <w:highlight w:val="white"/>
          <w:rtl w:val="0"/>
        </w:rPr>
        <w:t xml:space="preserve"> Y también de una entidad de almacén de datos con el uso de la función </w:t>
      </w:r>
      <w:r w:rsidDel="00000000" w:rsidR="00000000" w:rsidRPr="00000000">
        <w:rPr>
          <w:b w:val="1"/>
          <w:color w:val="222222"/>
          <w:sz w:val="23"/>
          <w:szCs w:val="23"/>
          <w:highlight w:val="white"/>
          <w:rtl w:val="0"/>
        </w:rPr>
        <w:t xml:space="preserve">a!queryEntity() </w:t>
      </w:r>
      <w:r w:rsidDel="00000000" w:rsidR="00000000" w:rsidRPr="00000000">
        <w:rPr>
          <w:color w:val="222222"/>
          <w:sz w:val="23"/>
          <w:szCs w:val="23"/>
          <w:highlight w:val="white"/>
          <w:rtl w:val="0"/>
        </w:rPr>
        <w:t xml:space="preserve">esto nos permite consultar datos directamente desde una base de datos </w:t>
      </w:r>
    </w:p>
    <w:p w:rsidR="00000000" w:rsidDel="00000000" w:rsidP="00000000" w:rsidRDefault="00000000" w:rsidRPr="00000000" w14:paraId="0000001F">
      <w:pPr>
        <w:rPr>
          <w:color w:val="222222"/>
          <w:sz w:val="23"/>
          <w:szCs w:val="23"/>
          <w:highlight w:val="white"/>
        </w:rPr>
      </w:pPr>
      <w:r w:rsidDel="00000000" w:rsidR="00000000" w:rsidRPr="00000000">
        <w:rPr>
          <w:color w:val="222222"/>
          <w:sz w:val="23"/>
          <w:szCs w:val="23"/>
          <w:highlight w:val="white"/>
        </w:rPr>
        <w:drawing>
          <wp:inline distB="114300" distT="114300" distL="114300" distR="114300">
            <wp:extent cx="5731200" cy="32258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color w:val="222222"/>
          <w:sz w:val="23"/>
          <w:szCs w:val="23"/>
          <w:highlight w:val="white"/>
        </w:rPr>
      </w:pPr>
      <w:r w:rsidDel="00000000" w:rsidR="00000000" w:rsidRPr="00000000">
        <w:rPr>
          <w:color w:val="222222"/>
          <w:sz w:val="23"/>
          <w:szCs w:val="23"/>
          <w:highlight w:val="white"/>
        </w:rPr>
        <w:drawing>
          <wp:inline distB="114300" distT="114300" distL="114300" distR="114300">
            <wp:extent cx="5731200" cy="32258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color w:val="222222"/>
          <w:sz w:val="23"/>
          <w:szCs w:val="23"/>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docs.appian.com/suite/help/22.2/Call_Web_Service_Smart_Service.html" TargetMode="External"/><Relationship Id="rId7" Type="http://schemas.openxmlformats.org/officeDocument/2006/relationships/hyperlink" Target="https://docs.appian.com/suite/help/22.2/Custom_Data_Types_from_Java_Object.html"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