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ahoma" w:cs="Tahoma" w:eastAsia="Tahoma" w:hAnsi="Tahoma"/>
          <w:b w:val="1"/>
          <w:color w:val="020240"/>
          <w:sz w:val="30"/>
          <w:szCs w:val="30"/>
        </w:rPr>
      </w:pPr>
      <w:r w:rsidDel="00000000" w:rsidR="00000000" w:rsidRPr="00000000">
        <w:rPr>
          <w:rFonts w:ascii="Tahoma" w:cs="Tahoma" w:eastAsia="Tahoma" w:hAnsi="Tahoma"/>
          <w:b w:val="1"/>
          <w:color w:val="020240"/>
          <w:sz w:val="30"/>
          <w:szCs w:val="30"/>
          <w:rtl w:val="0"/>
        </w:rPr>
        <w:t xml:space="preserve"> </w:t>
      </w:r>
    </w:p>
    <w:p w:rsidR="00000000" w:rsidDel="00000000" w:rsidP="00000000" w:rsidRDefault="00000000" w:rsidRPr="00000000" w14:paraId="00000002">
      <w:pPr>
        <w:rPr>
          <w:rFonts w:ascii="Tahoma" w:cs="Tahoma" w:eastAsia="Tahoma" w:hAnsi="Tahoma"/>
          <w:b w:val="1"/>
          <w:color w:val="020240"/>
          <w:sz w:val="30"/>
          <w:szCs w:val="30"/>
        </w:rPr>
      </w:pPr>
      <w:r w:rsidDel="00000000" w:rsidR="00000000" w:rsidRPr="00000000">
        <w:rPr>
          <w:rFonts w:ascii="Tahoma" w:cs="Tahoma" w:eastAsia="Tahoma" w:hAnsi="Tahoma"/>
          <w:b w:val="1"/>
          <w:color w:val="020240"/>
          <w:sz w:val="30"/>
          <w:szCs w:val="30"/>
          <w:rtl w:val="0"/>
        </w:rPr>
        <w:t xml:space="preserve">Appian Vulnerability Submission Worksheet</w:t>
      </w:r>
    </w:p>
    <w:p w:rsidR="00000000" w:rsidDel="00000000" w:rsidP="00000000" w:rsidRDefault="00000000" w:rsidRPr="00000000" w14:paraId="00000003">
      <w:pPr>
        <w:rPr>
          <w:rFonts w:ascii="Tahoma" w:cs="Tahoma" w:eastAsia="Tahoma" w:hAnsi="Tahoma"/>
          <w:sz w:val="17"/>
          <w:szCs w:val="17"/>
        </w:rPr>
      </w:pPr>
      <w:r w:rsidDel="00000000" w:rsidR="00000000" w:rsidRPr="00000000">
        <w:rPr>
          <w:rFonts w:ascii="Tahoma" w:cs="Tahoma" w:eastAsia="Tahoma" w:hAnsi="Tahoma"/>
          <w:sz w:val="17"/>
          <w:szCs w:val="17"/>
          <w:rtl w:val="0"/>
        </w:rPr>
        <w:t xml:space="preserve">This worksheet was designed by Appian to help you submit vulnerabilities in alignment with our security team guidelines. Please review the guidelines</w:t>
      </w:r>
      <w:hyperlink r:id="rId6">
        <w:r w:rsidDel="00000000" w:rsidR="00000000" w:rsidRPr="00000000">
          <w:rPr>
            <w:rFonts w:ascii="Tahoma" w:cs="Tahoma" w:eastAsia="Tahoma" w:hAnsi="Tahoma"/>
            <w:sz w:val="17"/>
            <w:szCs w:val="17"/>
            <w:rtl w:val="0"/>
          </w:rPr>
          <w:t xml:space="preserve"> </w:t>
        </w:r>
      </w:hyperlink>
      <w:hyperlink r:id="rId7">
        <w:r w:rsidDel="00000000" w:rsidR="00000000" w:rsidRPr="00000000">
          <w:rPr>
            <w:rFonts w:ascii="Tahoma" w:cs="Tahoma" w:eastAsia="Tahoma" w:hAnsi="Tahoma"/>
            <w:color w:val="1900ec"/>
            <w:sz w:val="17"/>
            <w:szCs w:val="17"/>
            <w:u w:val="single"/>
            <w:rtl w:val="0"/>
          </w:rPr>
          <w:t xml:space="preserve">here</w:t>
        </w:r>
      </w:hyperlink>
      <w:r w:rsidDel="00000000" w:rsidR="00000000" w:rsidRPr="00000000">
        <w:rPr>
          <w:rFonts w:ascii="Tahoma" w:cs="Tahoma" w:eastAsia="Tahoma" w:hAnsi="Tahoma"/>
          <w:sz w:val="17"/>
          <w:szCs w:val="17"/>
          <w:rtl w:val="0"/>
        </w:rPr>
        <w:t xml:space="preserve"> and submit a completed version of this worksheet through a</w:t>
      </w:r>
      <w:hyperlink r:id="rId8">
        <w:r w:rsidDel="00000000" w:rsidR="00000000" w:rsidRPr="00000000">
          <w:rPr>
            <w:rFonts w:ascii="Tahoma" w:cs="Tahoma" w:eastAsia="Tahoma" w:hAnsi="Tahoma"/>
            <w:sz w:val="17"/>
            <w:szCs w:val="17"/>
            <w:rtl w:val="0"/>
          </w:rPr>
          <w:t xml:space="preserve"> </w:t>
        </w:r>
      </w:hyperlink>
      <w:hyperlink r:id="rId9">
        <w:r w:rsidDel="00000000" w:rsidR="00000000" w:rsidRPr="00000000">
          <w:rPr>
            <w:rFonts w:ascii="Tahoma" w:cs="Tahoma" w:eastAsia="Tahoma" w:hAnsi="Tahoma"/>
            <w:color w:val="1900ec"/>
            <w:sz w:val="17"/>
            <w:szCs w:val="17"/>
            <w:u w:val="single"/>
            <w:rtl w:val="0"/>
          </w:rPr>
          <w:t xml:space="preserve">Technical Support Case</w:t>
        </w:r>
      </w:hyperlink>
      <w:r w:rsidDel="00000000" w:rsidR="00000000" w:rsidRPr="00000000">
        <w:rPr>
          <w:rFonts w:ascii="Tahoma" w:cs="Tahoma" w:eastAsia="Tahoma" w:hAnsi="Tahoma"/>
          <w:sz w:val="17"/>
          <w:szCs w:val="17"/>
          <w:rtl w:val="0"/>
        </w:rPr>
        <w:t xml:space="preserve">.</w:t>
      </w:r>
    </w:p>
    <w:p w:rsidR="00000000" w:rsidDel="00000000" w:rsidP="00000000" w:rsidRDefault="00000000" w:rsidRPr="00000000" w14:paraId="00000004">
      <w:pPr>
        <w:jc w:val="both"/>
        <w:rPr>
          <w:rFonts w:ascii="Tahoma" w:cs="Tahoma" w:eastAsia="Tahoma" w:hAnsi="Tahoma"/>
          <w:color w:val="074099"/>
          <w:sz w:val="24"/>
          <w:szCs w:val="24"/>
        </w:rPr>
      </w:pPr>
      <w:r w:rsidDel="00000000" w:rsidR="00000000" w:rsidRPr="00000000">
        <w:rPr>
          <w:rFonts w:ascii="Tahoma" w:cs="Tahoma" w:eastAsia="Tahoma" w:hAnsi="Tahoma"/>
          <w:color w:val="074099"/>
          <w:sz w:val="24"/>
          <w:szCs w:val="24"/>
          <w:rtl w:val="0"/>
        </w:rPr>
        <w:t xml:space="preserve">Important Note</w:t>
      </w:r>
    </w:p>
    <w:p w:rsidR="00000000" w:rsidDel="00000000" w:rsidP="00000000" w:rsidRDefault="00000000" w:rsidRPr="00000000" w14:paraId="00000005">
      <w:pPr>
        <w:spacing w:after="100" w:lineRule="auto"/>
        <w:jc w:val="both"/>
        <w:rPr>
          <w:rFonts w:ascii="Tahoma" w:cs="Tahoma" w:eastAsia="Tahoma" w:hAnsi="Tahoma"/>
          <w:b w:val="1"/>
          <w:sz w:val="17"/>
          <w:szCs w:val="17"/>
        </w:rPr>
      </w:pPr>
      <w:r w:rsidDel="00000000" w:rsidR="00000000" w:rsidRPr="00000000">
        <w:rPr>
          <w:rFonts w:ascii="Tahoma" w:cs="Tahoma" w:eastAsia="Tahoma" w:hAnsi="Tahoma"/>
          <w:sz w:val="17"/>
          <w:szCs w:val="17"/>
          <w:rtl w:val="0"/>
        </w:rPr>
        <w:t xml:space="preserve">Appian requires </w:t>
      </w:r>
      <w:r w:rsidDel="00000000" w:rsidR="00000000" w:rsidRPr="00000000">
        <w:rPr>
          <w:rFonts w:ascii="Tahoma" w:cs="Tahoma" w:eastAsia="Tahoma" w:hAnsi="Tahoma"/>
          <w:b w:val="1"/>
          <w:sz w:val="17"/>
          <w:szCs w:val="17"/>
          <w:rtl w:val="0"/>
        </w:rPr>
        <w:t xml:space="preserve">verifiable evidence such as screenshots, payloads, or any other associated proof-of-concept material as well as manual reproduction steps in order to properly validate any reported vulnerability findings.</w:t>
      </w:r>
    </w:p>
    <w:p w:rsidR="00000000" w:rsidDel="00000000" w:rsidP="00000000" w:rsidRDefault="00000000" w:rsidRPr="00000000" w14:paraId="00000006">
      <w:pPr>
        <w:spacing w:after="100" w:lineRule="auto"/>
        <w:jc w:val="both"/>
        <w:rPr>
          <w:rFonts w:ascii="Tahoma" w:cs="Tahoma" w:eastAsia="Tahoma" w:hAnsi="Tahoma"/>
          <w:sz w:val="17"/>
          <w:szCs w:val="17"/>
        </w:rPr>
      </w:pPr>
      <w:r w:rsidDel="00000000" w:rsidR="00000000" w:rsidRPr="00000000">
        <w:rPr>
          <w:rFonts w:ascii="Tahoma" w:cs="Tahoma" w:eastAsia="Tahoma" w:hAnsi="Tahoma"/>
          <w:b w:val="1"/>
          <w:sz w:val="17"/>
          <w:szCs w:val="17"/>
          <w:rtl w:val="0"/>
        </w:rPr>
        <w:t xml:space="preserve">Our platform is unique and lends itself to a very high volume of false positives</w:t>
      </w:r>
      <w:r w:rsidDel="00000000" w:rsidR="00000000" w:rsidRPr="00000000">
        <w:rPr>
          <w:rFonts w:ascii="Tahoma" w:cs="Tahoma" w:eastAsia="Tahoma" w:hAnsi="Tahoma"/>
          <w:sz w:val="17"/>
          <w:szCs w:val="17"/>
          <w:rtl w:val="0"/>
        </w:rPr>
        <w:t xml:space="preserve"> </w:t>
      </w:r>
      <w:r w:rsidDel="00000000" w:rsidR="00000000" w:rsidRPr="00000000">
        <w:rPr>
          <w:rFonts w:ascii="Tahoma" w:cs="Tahoma" w:eastAsia="Tahoma" w:hAnsi="Tahoma"/>
          <w:b w:val="1"/>
          <w:sz w:val="17"/>
          <w:szCs w:val="17"/>
          <w:rtl w:val="0"/>
        </w:rPr>
        <w:t xml:space="preserve">from automated scans</w:t>
      </w:r>
      <w:r w:rsidDel="00000000" w:rsidR="00000000" w:rsidRPr="00000000">
        <w:rPr>
          <w:rFonts w:ascii="Tahoma" w:cs="Tahoma" w:eastAsia="Tahoma" w:hAnsi="Tahoma"/>
          <w:sz w:val="17"/>
          <w:szCs w:val="17"/>
          <w:rtl w:val="0"/>
        </w:rPr>
        <w:t xml:space="preserve">. This is because:</w:t>
      </w:r>
    </w:p>
    <w:p w:rsidR="00000000" w:rsidDel="00000000" w:rsidP="00000000" w:rsidRDefault="00000000" w:rsidRPr="00000000" w14:paraId="00000007">
      <w:pPr>
        <w:numPr>
          <w:ilvl w:val="0"/>
          <w:numId w:val="5"/>
        </w:numPr>
        <w:spacing w:after="0" w:afterAutospacing="0" w:before="240" w:lineRule="auto"/>
        <w:ind w:left="720" w:hanging="360"/>
        <w:jc w:val="both"/>
        <w:rPr>
          <w:rFonts w:ascii="Tahoma" w:cs="Tahoma" w:eastAsia="Tahoma" w:hAnsi="Tahoma"/>
          <w:sz w:val="17"/>
          <w:szCs w:val="17"/>
        </w:rPr>
      </w:pPr>
      <w:r w:rsidDel="00000000" w:rsidR="00000000" w:rsidRPr="00000000">
        <w:rPr>
          <w:rFonts w:ascii="Tahoma" w:cs="Tahoma" w:eastAsia="Tahoma" w:hAnsi="Tahoma"/>
          <w:sz w:val="17"/>
          <w:szCs w:val="17"/>
          <w:rtl w:val="0"/>
        </w:rPr>
        <w:t xml:space="preserve">Appian endpoints are dynamically created as a user navigates through the solution, which means the sitemaps generated by automated scanners are often incorrect.</w:t>
      </w:r>
    </w:p>
    <w:p w:rsidR="00000000" w:rsidDel="00000000" w:rsidP="00000000" w:rsidRDefault="00000000" w:rsidRPr="00000000" w14:paraId="00000008">
      <w:pPr>
        <w:numPr>
          <w:ilvl w:val="0"/>
          <w:numId w:val="5"/>
        </w:numPr>
        <w:spacing w:after="340" w:before="0" w:beforeAutospacing="0" w:lineRule="auto"/>
        <w:ind w:left="720" w:hanging="360"/>
        <w:jc w:val="both"/>
        <w:rPr>
          <w:rFonts w:ascii="Tahoma" w:cs="Tahoma" w:eastAsia="Tahoma" w:hAnsi="Tahoma"/>
          <w:sz w:val="17"/>
          <w:szCs w:val="17"/>
        </w:rPr>
      </w:pPr>
      <w:r w:rsidDel="00000000" w:rsidR="00000000" w:rsidRPr="00000000">
        <w:rPr>
          <w:rFonts w:ascii="Tahoma" w:cs="Tahoma" w:eastAsia="Tahoma" w:hAnsi="Tahoma"/>
          <w:sz w:val="17"/>
          <w:szCs w:val="17"/>
          <w:rtl w:val="0"/>
        </w:rPr>
        <w:t xml:space="preserve">Due to our expression language - SAIL - solutions within our platform do not wait for user submission of state changing requests. For the sake of security and increased speed, data is posted back in memory as the user is interacting with the UI and validated either during that interaction or during submission. After entry of data into a given field, the application only returns object IDs and no actual values. This workflow is not conventional, and automated scanners cannot differentiate between vulnerable and non-vulnerable components.</w:t>
      </w:r>
    </w:p>
    <w:p w:rsidR="00000000" w:rsidDel="00000000" w:rsidP="00000000" w:rsidRDefault="00000000" w:rsidRPr="00000000" w14:paraId="00000009">
      <w:pPr>
        <w:spacing w:after="180" w:lineRule="auto"/>
        <w:jc w:val="both"/>
        <w:rPr>
          <w:rFonts w:ascii="Tahoma" w:cs="Tahoma" w:eastAsia="Tahoma" w:hAnsi="Tahoma"/>
          <w:sz w:val="17"/>
          <w:szCs w:val="17"/>
        </w:rPr>
      </w:pPr>
      <w:r w:rsidDel="00000000" w:rsidR="00000000" w:rsidRPr="00000000">
        <w:rPr>
          <w:rFonts w:ascii="Tahoma" w:cs="Tahoma" w:eastAsia="Tahoma" w:hAnsi="Tahoma"/>
          <w:sz w:val="17"/>
          <w:szCs w:val="17"/>
          <w:rtl w:val="0"/>
        </w:rPr>
        <w:t xml:space="preserve">We have yet to find a Dynamic Application Security Testing (DAST) tool that can adequately identify vulnerabilities within our platform and the solutions built on top of it. Therefore, we require evidence and manual reproduction steps for each reported vulnerability. We appreciate your help with ensuring a streamlined submission process!</w:t>
      </w:r>
    </w:p>
    <w:p w:rsidR="00000000" w:rsidDel="00000000" w:rsidP="00000000" w:rsidRDefault="00000000" w:rsidRPr="00000000" w14:paraId="0000000A">
      <w:pPr>
        <w:jc w:val="both"/>
        <w:rPr>
          <w:rFonts w:ascii="Tahoma" w:cs="Tahoma" w:eastAsia="Tahoma" w:hAnsi="Tahoma"/>
          <w:color w:val="244084"/>
          <w:sz w:val="24"/>
          <w:szCs w:val="24"/>
        </w:rPr>
      </w:pPr>
      <w:r w:rsidDel="00000000" w:rsidR="00000000" w:rsidRPr="00000000">
        <w:rPr>
          <w:rFonts w:ascii="Tahoma" w:cs="Tahoma" w:eastAsia="Tahoma" w:hAnsi="Tahoma"/>
          <w:color w:val="244084"/>
          <w:sz w:val="24"/>
          <w:szCs w:val="24"/>
          <w:rtl w:val="0"/>
        </w:rPr>
        <w:t xml:space="preserve">Requirements</w:t>
      </w:r>
    </w:p>
    <w:p w:rsidR="00000000" w:rsidDel="00000000" w:rsidP="00000000" w:rsidRDefault="00000000" w:rsidRPr="00000000" w14:paraId="0000000B">
      <w:pPr>
        <w:spacing w:after="160" w:lineRule="auto"/>
        <w:jc w:val="both"/>
        <w:rPr>
          <w:rFonts w:ascii="Tahoma" w:cs="Tahoma" w:eastAsia="Tahoma" w:hAnsi="Tahoma"/>
          <w:sz w:val="17"/>
          <w:szCs w:val="17"/>
        </w:rPr>
      </w:pPr>
      <w:r w:rsidDel="00000000" w:rsidR="00000000" w:rsidRPr="00000000">
        <w:rPr>
          <w:rFonts w:ascii="Tahoma" w:cs="Tahoma" w:eastAsia="Tahoma" w:hAnsi="Tahoma"/>
          <w:sz w:val="17"/>
          <w:szCs w:val="17"/>
          <w:rtl w:val="0"/>
        </w:rPr>
        <w:t xml:space="preserve">Please copy and fill the table below for each vulnerability. All </w:t>
      </w:r>
      <w:r w:rsidDel="00000000" w:rsidR="00000000" w:rsidRPr="00000000">
        <w:rPr>
          <w:rFonts w:ascii="Tahoma" w:cs="Tahoma" w:eastAsia="Tahoma" w:hAnsi="Tahoma"/>
          <w:b w:val="1"/>
          <w:color w:val="ffffff"/>
          <w:sz w:val="17"/>
          <w:szCs w:val="17"/>
          <w:shd w:fill="020240" w:val="clear"/>
          <w:rtl w:val="0"/>
        </w:rPr>
        <w:t xml:space="preserve">DARK BLUE</w:t>
      </w:r>
      <w:r w:rsidDel="00000000" w:rsidR="00000000" w:rsidRPr="00000000">
        <w:rPr>
          <w:rFonts w:ascii="Tahoma" w:cs="Tahoma" w:eastAsia="Tahoma" w:hAnsi="Tahoma"/>
          <w:sz w:val="17"/>
          <w:szCs w:val="17"/>
          <w:rtl w:val="0"/>
        </w:rPr>
        <w:t xml:space="preserve"> fields are REQUIRED.</w:t>
      </w:r>
    </w:p>
    <w:p w:rsidR="00000000" w:rsidDel="00000000" w:rsidP="00000000" w:rsidRDefault="00000000" w:rsidRPr="00000000" w14:paraId="0000000C">
      <w:pPr>
        <w:spacing w:after="160" w:lineRule="auto"/>
        <w:rPr>
          <w:rFonts w:ascii="Tahoma" w:cs="Tahoma" w:eastAsia="Tahoma" w:hAnsi="Tahoma"/>
          <w:b w:val="1"/>
          <w:color w:val="152f49"/>
          <w:sz w:val="18"/>
          <w:szCs w:val="18"/>
        </w:rPr>
      </w:pPr>
      <w:r w:rsidDel="00000000" w:rsidR="00000000" w:rsidRPr="00000000">
        <w:rPr>
          <w:rFonts w:ascii="Tahoma" w:cs="Tahoma" w:eastAsia="Tahoma" w:hAnsi="Tahoma"/>
          <w:b w:val="1"/>
          <w:color w:val="152f49"/>
          <w:sz w:val="18"/>
          <w:szCs w:val="18"/>
          <w:rtl w:val="0"/>
        </w:rPr>
        <w:t xml:space="preserve">Vulnerability 1</w:t>
      </w:r>
    </w:p>
    <w:tbl>
      <w:tblPr>
        <w:tblStyle w:val="Table1"/>
        <w:tblW w:w="81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95"/>
        <w:gridCol w:w="7020"/>
        <w:tblGridChange w:id="0">
          <w:tblGrid>
            <w:gridCol w:w="1095"/>
            <w:gridCol w:w="7020"/>
          </w:tblGrid>
        </w:tblGridChange>
      </w:tblGrid>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e1edff" w:val="clear"/>
            <w:tcMar>
              <w:top w:w="60.0" w:type="dxa"/>
              <w:left w:w="60.0" w:type="dxa"/>
              <w:bottom w:w="60.0" w:type="dxa"/>
              <w:right w:w="60.0" w:type="dxa"/>
            </w:tcMar>
            <w:vAlign w:val="center"/>
          </w:tcPr>
          <w:p w:rsidR="00000000" w:rsidDel="00000000" w:rsidP="00000000" w:rsidRDefault="00000000" w:rsidRPr="00000000" w14:paraId="0000000D">
            <w:pPr>
              <w:rPr>
                <w:b w:val="1"/>
                <w:sz w:val="17"/>
                <w:szCs w:val="17"/>
              </w:rPr>
            </w:pPr>
            <w:r w:rsidDel="00000000" w:rsidR="00000000" w:rsidRPr="00000000">
              <w:rPr>
                <w:b w:val="1"/>
                <w:sz w:val="17"/>
                <w:szCs w:val="17"/>
                <w:rtl w:val="0"/>
              </w:rPr>
              <w:t xml:space="preserve">ID Number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0E">
            <w:pPr>
              <w:rPr>
                <w:i w:val="1"/>
                <w:sz w:val="17"/>
                <w:szCs w:val="17"/>
              </w:rPr>
            </w:pPr>
            <w:r w:rsidDel="00000000" w:rsidR="00000000" w:rsidRPr="00000000">
              <w:rPr>
                <w:i w:val="1"/>
                <w:sz w:val="17"/>
                <w:szCs w:val="17"/>
                <w:rtl w:val="0"/>
              </w:rPr>
              <w:t xml:space="preserve">Example1</w:t>
            </w:r>
          </w:p>
        </w:tc>
      </w:tr>
      <w:tr>
        <w:trPr>
          <w:cantSplit w:val="0"/>
          <w:trHeight w:val="510" w:hRule="atLeast"/>
          <w:tblHeader w:val="0"/>
        </w:trPr>
        <w:tc>
          <w:tcPr>
            <w:tcBorders>
              <w:top w:color="000000" w:space="0" w:sz="6" w:val="single"/>
              <w:left w:color="000000" w:space="0" w:sz="6" w:val="single"/>
              <w:bottom w:color="000000" w:space="0" w:sz="6" w:val="single"/>
              <w:right w:color="000000" w:space="0" w:sz="6" w:val="single"/>
            </w:tcBorders>
            <w:shd w:fill="020240" w:val="clear"/>
            <w:tcMar>
              <w:top w:w="60.0" w:type="dxa"/>
              <w:left w:w="60.0" w:type="dxa"/>
              <w:bottom w:w="60.0" w:type="dxa"/>
              <w:right w:w="60.0" w:type="dxa"/>
            </w:tcMar>
            <w:vAlign w:val="center"/>
          </w:tcPr>
          <w:p w:rsidR="00000000" w:rsidDel="00000000" w:rsidP="00000000" w:rsidRDefault="00000000" w:rsidRPr="00000000" w14:paraId="0000000F">
            <w:pPr>
              <w:rPr>
                <w:b w:val="1"/>
                <w:color w:val="ffffff"/>
                <w:sz w:val="17"/>
                <w:szCs w:val="17"/>
              </w:rPr>
            </w:pPr>
            <w:r w:rsidDel="00000000" w:rsidR="00000000" w:rsidRPr="00000000">
              <w:rPr>
                <w:b w:val="1"/>
                <w:color w:val="ffffff"/>
                <w:sz w:val="17"/>
                <w:szCs w:val="17"/>
                <w:rtl w:val="0"/>
              </w:rPr>
              <w:t xml:space="preserve">Name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10">
            <w:pPr>
              <w:rPr>
                <w:i w:val="1"/>
                <w:sz w:val="17"/>
                <w:szCs w:val="17"/>
              </w:rPr>
            </w:pPr>
            <w:r w:rsidDel="00000000" w:rsidR="00000000" w:rsidRPr="00000000">
              <w:rPr>
                <w:b w:val="1"/>
                <w:i w:val="1"/>
                <w:sz w:val="17"/>
                <w:szCs w:val="17"/>
                <w:rtl w:val="0"/>
              </w:rPr>
              <w:t xml:space="preserve">Reflected Cross Site Scripting on */WebGoat/start.mvc#lesson/CrossSiteScripting.lesson/6</w:t>
            </w:r>
            <w:r w:rsidDel="00000000" w:rsidR="00000000" w:rsidRPr="00000000">
              <w:rPr>
                <w:rtl w:val="0"/>
              </w:rPr>
            </w:r>
          </w:p>
        </w:tc>
      </w:tr>
      <w:tr>
        <w:trPr>
          <w:cantSplit w:val="0"/>
          <w:trHeight w:val="510" w:hRule="atLeast"/>
          <w:tblHeader w:val="0"/>
        </w:trPr>
        <w:tc>
          <w:tcPr>
            <w:tcBorders>
              <w:top w:color="000000" w:space="0" w:sz="6" w:val="single"/>
              <w:left w:color="000000" w:space="0" w:sz="6" w:val="single"/>
              <w:bottom w:color="000000" w:space="0" w:sz="6" w:val="single"/>
              <w:right w:color="000000" w:space="0" w:sz="6" w:val="single"/>
            </w:tcBorders>
            <w:shd w:fill="020240" w:val="clear"/>
            <w:tcMar>
              <w:top w:w="60.0" w:type="dxa"/>
              <w:left w:w="60.0" w:type="dxa"/>
              <w:bottom w:w="60.0" w:type="dxa"/>
              <w:right w:w="60.0" w:type="dxa"/>
            </w:tcMar>
            <w:vAlign w:val="center"/>
          </w:tcPr>
          <w:p w:rsidR="00000000" w:rsidDel="00000000" w:rsidP="00000000" w:rsidRDefault="00000000" w:rsidRPr="00000000" w14:paraId="00000011">
            <w:pPr>
              <w:rPr>
                <w:b w:val="1"/>
                <w:color w:val="ffffff"/>
                <w:sz w:val="17"/>
                <w:szCs w:val="17"/>
              </w:rPr>
            </w:pPr>
            <w:r w:rsidDel="00000000" w:rsidR="00000000" w:rsidRPr="00000000">
              <w:rPr>
                <w:b w:val="1"/>
                <w:color w:val="ffffff"/>
                <w:sz w:val="17"/>
                <w:szCs w:val="17"/>
                <w:rtl w:val="0"/>
              </w:rPr>
              <w:t xml:space="preserve">Severity Level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12">
            <w:pPr>
              <w:rPr>
                <w:i w:val="1"/>
                <w:sz w:val="17"/>
                <w:szCs w:val="17"/>
              </w:rPr>
            </w:pPr>
            <w:r w:rsidDel="00000000" w:rsidR="00000000" w:rsidRPr="00000000">
              <w:rPr>
                <w:b w:val="1"/>
                <w:i w:val="1"/>
                <w:sz w:val="17"/>
                <w:szCs w:val="17"/>
                <w:rtl w:val="0"/>
              </w:rPr>
              <w:t xml:space="preserve">Medium</w:t>
            </w:r>
            <w:r w:rsidDel="00000000" w:rsidR="00000000" w:rsidRPr="00000000">
              <w:rPr>
                <w:rtl w:val="0"/>
              </w:rPr>
            </w:r>
          </w:p>
        </w:tc>
      </w:tr>
      <w:tr>
        <w:trPr>
          <w:cantSplit w:val="0"/>
          <w:trHeight w:val="510" w:hRule="atLeast"/>
          <w:tblHeader w:val="0"/>
        </w:trPr>
        <w:tc>
          <w:tcPr>
            <w:tcBorders>
              <w:top w:color="000000" w:space="0" w:sz="6" w:val="single"/>
              <w:left w:color="000000" w:space="0" w:sz="6" w:val="single"/>
              <w:bottom w:color="000000" w:space="0" w:sz="6" w:val="single"/>
              <w:right w:color="000000" w:space="0" w:sz="6" w:val="single"/>
            </w:tcBorders>
            <w:shd w:fill="020240" w:val="clear"/>
            <w:tcMar>
              <w:top w:w="60.0" w:type="dxa"/>
              <w:left w:w="60.0" w:type="dxa"/>
              <w:bottom w:w="60.0" w:type="dxa"/>
              <w:right w:w="60.0" w:type="dxa"/>
            </w:tcMar>
            <w:vAlign w:val="center"/>
          </w:tcPr>
          <w:p w:rsidR="00000000" w:rsidDel="00000000" w:rsidP="00000000" w:rsidRDefault="00000000" w:rsidRPr="00000000" w14:paraId="00000013">
            <w:pPr>
              <w:rPr>
                <w:b w:val="1"/>
                <w:color w:val="ffffff"/>
                <w:sz w:val="17"/>
                <w:szCs w:val="17"/>
              </w:rPr>
            </w:pPr>
            <w:r w:rsidDel="00000000" w:rsidR="00000000" w:rsidRPr="00000000">
              <w:rPr>
                <w:b w:val="1"/>
                <w:color w:val="ffffff"/>
                <w:sz w:val="17"/>
                <w:szCs w:val="17"/>
                <w:rtl w:val="0"/>
              </w:rPr>
              <w:t xml:space="preserve">Description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14">
            <w:pPr>
              <w:rPr>
                <w:i w:val="1"/>
                <w:sz w:val="17"/>
                <w:szCs w:val="17"/>
              </w:rPr>
            </w:pPr>
            <w:r w:rsidDel="00000000" w:rsidR="00000000" w:rsidRPr="00000000">
              <w:rPr>
                <w:b w:val="1"/>
                <w:i w:val="1"/>
                <w:sz w:val="17"/>
                <w:szCs w:val="17"/>
                <w:rtl w:val="0"/>
              </w:rPr>
              <w:t xml:space="preserve">The /WebGoat/start.mvc#lesson/CrossSiteScripting.lesson/6 endpoint is vulnerable to reflected Cross Site Scripting when creating a new order</w:t>
            </w:r>
            <w:r w:rsidDel="00000000" w:rsidR="00000000" w:rsidRPr="00000000">
              <w:rPr>
                <w:rtl w:val="0"/>
              </w:rPr>
            </w:r>
          </w:p>
        </w:tc>
      </w:tr>
      <w:tr>
        <w:trPr>
          <w:cantSplit w:val="0"/>
          <w:trHeight w:val="1080" w:hRule="atLeast"/>
          <w:tblHeader w:val="0"/>
        </w:trPr>
        <w:tc>
          <w:tcPr>
            <w:tcBorders>
              <w:top w:color="000000" w:space="0" w:sz="6" w:val="single"/>
              <w:left w:color="000000" w:space="0" w:sz="6" w:val="single"/>
              <w:bottom w:color="000000" w:space="0" w:sz="6" w:val="single"/>
              <w:right w:color="000000" w:space="0" w:sz="6" w:val="single"/>
            </w:tcBorders>
            <w:shd w:fill="020240" w:val="clear"/>
            <w:tcMar>
              <w:top w:w="60.0" w:type="dxa"/>
              <w:left w:w="60.0" w:type="dxa"/>
              <w:bottom w:w="60.0" w:type="dxa"/>
              <w:right w:w="60.0" w:type="dxa"/>
            </w:tcMar>
            <w:vAlign w:val="center"/>
          </w:tcPr>
          <w:p w:rsidR="00000000" w:rsidDel="00000000" w:rsidP="00000000" w:rsidRDefault="00000000" w:rsidRPr="00000000" w14:paraId="00000015">
            <w:pPr>
              <w:rPr>
                <w:b w:val="1"/>
                <w:color w:val="ffffff"/>
                <w:sz w:val="17"/>
                <w:szCs w:val="17"/>
              </w:rPr>
            </w:pPr>
            <w:r w:rsidDel="00000000" w:rsidR="00000000" w:rsidRPr="00000000">
              <w:rPr>
                <w:b w:val="1"/>
                <w:color w:val="ffffff"/>
                <w:sz w:val="17"/>
                <w:szCs w:val="17"/>
                <w:rtl w:val="0"/>
              </w:rPr>
              <w:t xml:space="preserve">Evidence of Validation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16">
            <w:pPr>
              <w:rPr>
                <w:b w:val="1"/>
                <w:i w:val="1"/>
                <w:sz w:val="17"/>
                <w:szCs w:val="17"/>
              </w:rPr>
            </w:pPr>
            <w:r w:rsidDel="00000000" w:rsidR="00000000" w:rsidRPr="00000000">
              <w:rPr>
                <w:b w:val="1"/>
                <w:i w:val="1"/>
                <w:sz w:val="17"/>
                <w:szCs w:val="17"/>
                <w:rtl w:val="0"/>
              </w:rPr>
              <w:t xml:space="preserve">Payload used for testing:</w:t>
            </w:r>
          </w:p>
          <w:p w:rsidR="00000000" w:rsidDel="00000000" w:rsidP="00000000" w:rsidRDefault="00000000" w:rsidRPr="00000000" w14:paraId="00000017">
            <w:pPr>
              <w:rPr>
                <w:b w:val="1"/>
                <w:i w:val="1"/>
                <w:sz w:val="17"/>
                <w:szCs w:val="17"/>
              </w:rPr>
            </w:pPr>
            <w:r w:rsidDel="00000000" w:rsidR="00000000" w:rsidRPr="00000000">
              <w:rPr>
                <w:b w:val="1"/>
                <w:i w:val="1"/>
                <w:sz w:val="17"/>
                <w:szCs w:val="17"/>
                <w:rtl w:val="0"/>
              </w:rPr>
              <w:t xml:space="preserve">4128 3214 0002 1999&lt;/p&gt;&lt;script&gt;alert("XSS POC")&lt;/script&gt;</w:t>
            </w:r>
          </w:p>
          <w:p w:rsidR="00000000" w:rsidDel="00000000" w:rsidP="00000000" w:rsidRDefault="00000000" w:rsidRPr="00000000" w14:paraId="00000018">
            <w:pPr>
              <w:rPr>
                <w:b w:val="1"/>
                <w:i w:val="1"/>
                <w:sz w:val="17"/>
                <w:szCs w:val="17"/>
              </w:rPr>
            </w:pPr>
            <w:r w:rsidDel="00000000" w:rsidR="00000000" w:rsidRPr="00000000">
              <w:rPr>
                <w:rtl w:val="0"/>
              </w:rPr>
            </w:r>
          </w:p>
          <w:p w:rsidR="00000000" w:rsidDel="00000000" w:rsidP="00000000" w:rsidRDefault="00000000" w:rsidRPr="00000000" w14:paraId="00000019">
            <w:pPr>
              <w:rPr>
                <w:b w:val="1"/>
                <w:i w:val="1"/>
                <w:sz w:val="17"/>
                <w:szCs w:val="17"/>
              </w:rPr>
            </w:pPr>
            <w:r w:rsidDel="00000000" w:rsidR="00000000" w:rsidRPr="00000000">
              <w:rPr>
                <w:b w:val="1"/>
                <w:i w:val="1"/>
                <w:sz w:val="17"/>
                <w:szCs w:val="17"/>
                <w:rtl w:val="0"/>
              </w:rPr>
              <w:t xml:space="preserve">Screenshot of successful payload injections:</w:t>
            </w:r>
            <w:r w:rsidDel="00000000" w:rsidR="00000000" w:rsidRPr="00000000">
              <w:rPr>
                <w:b w:val="1"/>
                <w:i w:val="1"/>
                <w:sz w:val="17"/>
                <w:szCs w:val="17"/>
              </w:rPr>
              <w:drawing>
                <wp:inline distB="114300" distT="114300" distL="114300" distR="114300">
                  <wp:extent cx="4381500" cy="2463800"/>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3815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b w:val="1"/>
                <w:i w:val="1"/>
                <w:sz w:val="17"/>
                <w:szCs w:val="17"/>
              </w:rPr>
            </w:pPr>
            <w:r w:rsidDel="00000000" w:rsidR="00000000" w:rsidRPr="00000000">
              <w:rPr>
                <w:rtl w:val="0"/>
              </w:rPr>
            </w:r>
          </w:p>
          <w:p w:rsidR="00000000" w:rsidDel="00000000" w:rsidP="00000000" w:rsidRDefault="00000000" w:rsidRPr="00000000" w14:paraId="0000001B">
            <w:pPr>
              <w:numPr>
                <w:ilvl w:val="0"/>
                <w:numId w:val="1"/>
              </w:numPr>
              <w:ind w:left="720" w:hanging="360"/>
              <w:rPr>
                <w:b w:val="1"/>
                <w:i w:val="1"/>
                <w:sz w:val="17"/>
                <w:szCs w:val="17"/>
                <w:u w:val="none"/>
              </w:rPr>
            </w:pPr>
            <w:r w:rsidDel="00000000" w:rsidR="00000000" w:rsidRPr="00000000">
              <w:rPr>
                <w:b w:val="1"/>
                <w:i w:val="1"/>
                <w:sz w:val="17"/>
                <w:szCs w:val="17"/>
                <w:rtl w:val="0"/>
              </w:rPr>
              <w:t xml:space="preserve">Screenshot of payload embedded in the DOM of /6:</w:t>
            </w:r>
          </w:p>
          <w:p w:rsidR="00000000" w:rsidDel="00000000" w:rsidP="00000000" w:rsidRDefault="00000000" w:rsidRPr="00000000" w14:paraId="0000001C">
            <w:pPr>
              <w:rPr>
                <w:b w:val="1"/>
                <w:i w:val="1"/>
                <w:sz w:val="17"/>
                <w:szCs w:val="17"/>
              </w:rPr>
            </w:pPr>
            <w:r w:rsidDel="00000000" w:rsidR="00000000" w:rsidRPr="00000000">
              <w:rPr>
                <w:b w:val="1"/>
                <w:i w:val="1"/>
                <w:sz w:val="17"/>
                <w:szCs w:val="17"/>
              </w:rPr>
              <w:drawing>
                <wp:inline distB="114300" distT="114300" distL="114300" distR="114300">
                  <wp:extent cx="4381500" cy="1638300"/>
                  <wp:effectExtent b="0" l="0" r="0" t="0"/>
                  <wp:docPr id="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3815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b w:val="1"/>
                <w:i w:val="1"/>
                <w:sz w:val="17"/>
                <w:szCs w:val="17"/>
              </w:rPr>
            </w:pPr>
            <w:r w:rsidDel="00000000" w:rsidR="00000000" w:rsidRPr="00000000">
              <w:rPr>
                <w:rtl w:val="0"/>
              </w:rPr>
            </w:r>
          </w:p>
          <w:p w:rsidR="00000000" w:rsidDel="00000000" w:rsidP="00000000" w:rsidRDefault="00000000" w:rsidRPr="00000000" w14:paraId="0000001E">
            <w:pPr>
              <w:rPr>
                <w:b w:val="1"/>
                <w:i w:val="1"/>
                <w:sz w:val="17"/>
                <w:szCs w:val="17"/>
              </w:rPr>
            </w:pPr>
            <w:r w:rsidDel="00000000" w:rsidR="00000000" w:rsidRPr="00000000">
              <w:rPr>
                <w:rtl w:val="0"/>
              </w:rPr>
            </w:r>
          </w:p>
        </w:tc>
      </w:tr>
      <w:tr>
        <w:trPr>
          <w:cantSplit w:val="0"/>
          <w:trHeight w:val="1080" w:hRule="atLeast"/>
          <w:tblHeader w:val="0"/>
        </w:trPr>
        <w:tc>
          <w:tcPr>
            <w:tcBorders>
              <w:top w:color="000000" w:space="0" w:sz="6" w:val="single"/>
              <w:left w:color="000000" w:space="0" w:sz="6" w:val="single"/>
              <w:bottom w:color="000000" w:space="0" w:sz="6" w:val="single"/>
              <w:right w:color="000000" w:space="0" w:sz="6" w:val="single"/>
            </w:tcBorders>
            <w:shd w:fill="020240" w:val="clear"/>
            <w:tcMar>
              <w:top w:w="60.0" w:type="dxa"/>
              <w:left w:w="60.0" w:type="dxa"/>
              <w:bottom w:w="60.0" w:type="dxa"/>
              <w:right w:w="60.0" w:type="dxa"/>
            </w:tcMar>
            <w:vAlign w:val="center"/>
          </w:tcPr>
          <w:p w:rsidR="00000000" w:rsidDel="00000000" w:rsidP="00000000" w:rsidRDefault="00000000" w:rsidRPr="00000000" w14:paraId="0000001F">
            <w:pPr>
              <w:rPr>
                <w:b w:val="1"/>
                <w:color w:val="ffffff"/>
                <w:sz w:val="17"/>
                <w:szCs w:val="17"/>
              </w:rPr>
            </w:pPr>
            <w:r w:rsidDel="00000000" w:rsidR="00000000" w:rsidRPr="00000000">
              <w:rPr>
                <w:b w:val="1"/>
                <w:color w:val="ffffff"/>
                <w:sz w:val="17"/>
                <w:szCs w:val="17"/>
                <w:rtl w:val="0"/>
              </w:rPr>
              <w:t xml:space="preserve">Steps to Reproduce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20">
            <w:pPr>
              <w:numPr>
                <w:ilvl w:val="0"/>
                <w:numId w:val="2"/>
              </w:numPr>
              <w:ind w:left="720" w:hanging="360"/>
              <w:rPr>
                <w:b w:val="1"/>
                <w:i w:val="1"/>
                <w:sz w:val="17"/>
                <w:szCs w:val="17"/>
              </w:rPr>
            </w:pPr>
            <w:r w:rsidDel="00000000" w:rsidR="00000000" w:rsidRPr="00000000">
              <w:rPr>
                <w:b w:val="1"/>
                <w:i w:val="1"/>
                <w:sz w:val="17"/>
                <w:szCs w:val="17"/>
                <w:rtl w:val="0"/>
              </w:rPr>
              <w:t xml:space="preserve">Log in to the Webgoat application as any existing user or register a new user</w:t>
            </w:r>
          </w:p>
          <w:p w:rsidR="00000000" w:rsidDel="00000000" w:rsidP="00000000" w:rsidRDefault="00000000" w:rsidRPr="00000000" w14:paraId="00000021">
            <w:pPr>
              <w:numPr>
                <w:ilvl w:val="0"/>
                <w:numId w:val="2"/>
              </w:numPr>
              <w:ind w:left="720" w:hanging="360"/>
              <w:rPr>
                <w:b w:val="1"/>
                <w:i w:val="1"/>
                <w:sz w:val="17"/>
                <w:szCs w:val="17"/>
                <w:u w:val="none"/>
              </w:rPr>
            </w:pPr>
            <w:r w:rsidDel="00000000" w:rsidR="00000000" w:rsidRPr="00000000">
              <w:rPr>
                <w:b w:val="1"/>
                <w:i w:val="1"/>
                <w:sz w:val="17"/>
                <w:szCs w:val="17"/>
                <w:rtl w:val="0"/>
              </w:rPr>
              <w:t xml:space="preserve">Click on the “A3. Injection” menu option and select “Cross Site Scripting”</w:t>
            </w:r>
          </w:p>
          <w:p w:rsidR="00000000" w:rsidDel="00000000" w:rsidP="00000000" w:rsidRDefault="00000000" w:rsidRPr="00000000" w14:paraId="00000022">
            <w:pPr>
              <w:numPr>
                <w:ilvl w:val="0"/>
                <w:numId w:val="2"/>
              </w:numPr>
              <w:ind w:left="720" w:hanging="360"/>
              <w:rPr>
                <w:b w:val="1"/>
                <w:i w:val="1"/>
                <w:sz w:val="17"/>
                <w:szCs w:val="17"/>
                <w:u w:val="none"/>
              </w:rPr>
            </w:pPr>
            <w:r w:rsidDel="00000000" w:rsidR="00000000" w:rsidRPr="00000000">
              <w:rPr>
                <w:b w:val="1"/>
                <w:i w:val="1"/>
                <w:sz w:val="17"/>
                <w:szCs w:val="17"/>
                <w:rtl w:val="0"/>
              </w:rPr>
              <w:t xml:space="preserve">Click on the 7 at the top of the screen</w:t>
            </w:r>
          </w:p>
          <w:p w:rsidR="00000000" w:rsidDel="00000000" w:rsidP="00000000" w:rsidRDefault="00000000" w:rsidRPr="00000000" w14:paraId="00000023">
            <w:pPr>
              <w:numPr>
                <w:ilvl w:val="0"/>
                <w:numId w:val="2"/>
              </w:numPr>
              <w:ind w:left="720" w:hanging="360"/>
              <w:rPr>
                <w:b w:val="1"/>
                <w:i w:val="1"/>
                <w:sz w:val="17"/>
                <w:szCs w:val="17"/>
                <w:u w:val="none"/>
              </w:rPr>
            </w:pPr>
            <w:r w:rsidDel="00000000" w:rsidR="00000000" w:rsidRPr="00000000">
              <w:rPr>
                <w:b w:val="1"/>
                <w:i w:val="1"/>
                <w:sz w:val="17"/>
                <w:szCs w:val="17"/>
                <w:rtl w:val="0"/>
              </w:rPr>
              <w:t xml:space="preserve">In the “Enter your credit card number:” field, enter “4128 3214 0002 1999&lt;/p&gt;&lt;script&gt;alert("XSS POC")&lt;/script&gt;”</w:t>
            </w:r>
          </w:p>
          <w:p w:rsidR="00000000" w:rsidDel="00000000" w:rsidP="00000000" w:rsidRDefault="00000000" w:rsidRPr="00000000" w14:paraId="00000024">
            <w:pPr>
              <w:numPr>
                <w:ilvl w:val="0"/>
                <w:numId w:val="2"/>
              </w:numPr>
              <w:ind w:left="720" w:hanging="360"/>
              <w:rPr>
                <w:b w:val="1"/>
                <w:i w:val="1"/>
                <w:sz w:val="17"/>
                <w:szCs w:val="17"/>
                <w:u w:val="none"/>
              </w:rPr>
            </w:pPr>
            <w:r w:rsidDel="00000000" w:rsidR="00000000" w:rsidRPr="00000000">
              <w:rPr>
                <w:b w:val="1"/>
                <w:i w:val="1"/>
                <w:sz w:val="17"/>
                <w:szCs w:val="17"/>
                <w:rtl w:val="0"/>
              </w:rPr>
              <w:t xml:space="preserve">Click “Purchase”</w:t>
            </w:r>
          </w:p>
          <w:p w:rsidR="00000000" w:rsidDel="00000000" w:rsidP="00000000" w:rsidRDefault="00000000" w:rsidRPr="00000000" w14:paraId="00000025">
            <w:pPr>
              <w:numPr>
                <w:ilvl w:val="0"/>
                <w:numId w:val="2"/>
              </w:numPr>
              <w:ind w:left="720" w:hanging="360"/>
              <w:rPr>
                <w:b w:val="1"/>
                <w:i w:val="1"/>
                <w:sz w:val="17"/>
                <w:szCs w:val="17"/>
                <w:u w:val="none"/>
              </w:rPr>
            </w:pPr>
            <w:r w:rsidDel="00000000" w:rsidR="00000000" w:rsidRPr="00000000">
              <w:rPr>
                <w:b w:val="1"/>
                <w:i w:val="1"/>
                <w:sz w:val="17"/>
                <w:szCs w:val="17"/>
                <w:rtl w:val="0"/>
              </w:rPr>
              <w:t xml:space="preserve">Observe the javascript alert pop up with the text “XSS POC” displayed</w:t>
            </w:r>
          </w:p>
        </w:tc>
      </w:tr>
    </w:tbl>
    <w:p w:rsidR="00000000" w:rsidDel="00000000" w:rsidP="00000000" w:rsidRDefault="00000000" w:rsidRPr="00000000" w14:paraId="00000026">
      <w:pPr>
        <w:spacing w:after="160" w:lineRule="auto"/>
        <w:rPr>
          <w:rFonts w:ascii="Tahoma" w:cs="Tahoma" w:eastAsia="Tahoma" w:hAnsi="Tahoma"/>
          <w:b w:val="1"/>
          <w:color w:val="152f49"/>
          <w:sz w:val="18"/>
          <w:szCs w:val="18"/>
        </w:rPr>
      </w:pPr>
      <w:r w:rsidDel="00000000" w:rsidR="00000000" w:rsidRPr="00000000">
        <w:rPr>
          <w:rFonts w:ascii="Tahoma" w:cs="Tahoma" w:eastAsia="Tahoma" w:hAnsi="Tahoma"/>
          <w:b w:val="1"/>
          <w:color w:val="152f49"/>
          <w:sz w:val="18"/>
          <w:szCs w:val="18"/>
          <w:rtl w:val="0"/>
        </w:rPr>
        <w:t xml:space="preserve">Vulnerability 2</w:t>
      </w:r>
    </w:p>
    <w:tbl>
      <w:tblPr>
        <w:tblStyle w:val="Table2"/>
        <w:tblW w:w="81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95"/>
        <w:gridCol w:w="7020"/>
        <w:tblGridChange w:id="0">
          <w:tblGrid>
            <w:gridCol w:w="1095"/>
            <w:gridCol w:w="7020"/>
          </w:tblGrid>
        </w:tblGridChange>
      </w:tblGrid>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e1edff" w:val="clear"/>
            <w:tcMar>
              <w:top w:w="60.0" w:type="dxa"/>
              <w:left w:w="60.0" w:type="dxa"/>
              <w:bottom w:w="60.0" w:type="dxa"/>
              <w:right w:w="60.0" w:type="dxa"/>
            </w:tcMar>
            <w:vAlign w:val="center"/>
          </w:tcPr>
          <w:p w:rsidR="00000000" w:rsidDel="00000000" w:rsidP="00000000" w:rsidRDefault="00000000" w:rsidRPr="00000000" w14:paraId="00000027">
            <w:pPr>
              <w:rPr>
                <w:b w:val="1"/>
                <w:sz w:val="17"/>
                <w:szCs w:val="17"/>
              </w:rPr>
            </w:pPr>
            <w:r w:rsidDel="00000000" w:rsidR="00000000" w:rsidRPr="00000000">
              <w:rPr>
                <w:b w:val="1"/>
                <w:sz w:val="17"/>
                <w:szCs w:val="17"/>
                <w:rtl w:val="0"/>
              </w:rPr>
              <w:t xml:space="preserve">ID Number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28">
            <w:pPr>
              <w:rPr>
                <w:i w:val="1"/>
                <w:sz w:val="17"/>
                <w:szCs w:val="17"/>
              </w:rPr>
            </w:pPr>
            <w:r w:rsidDel="00000000" w:rsidR="00000000" w:rsidRPr="00000000">
              <w:rPr>
                <w:i w:val="1"/>
                <w:sz w:val="17"/>
                <w:szCs w:val="17"/>
                <w:rtl w:val="0"/>
              </w:rPr>
              <w:t xml:space="preserve">Example2</w:t>
            </w:r>
          </w:p>
        </w:tc>
      </w:tr>
      <w:tr>
        <w:trPr>
          <w:cantSplit w:val="0"/>
          <w:trHeight w:val="510" w:hRule="atLeast"/>
          <w:tblHeader w:val="0"/>
        </w:trPr>
        <w:tc>
          <w:tcPr>
            <w:tcBorders>
              <w:top w:color="000000" w:space="0" w:sz="6" w:val="single"/>
              <w:left w:color="000000" w:space="0" w:sz="6" w:val="single"/>
              <w:bottom w:color="000000" w:space="0" w:sz="6" w:val="single"/>
              <w:right w:color="000000" w:space="0" w:sz="6" w:val="single"/>
            </w:tcBorders>
            <w:shd w:fill="020240" w:val="clear"/>
            <w:tcMar>
              <w:top w:w="60.0" w:type="dxa"/>
              <w:left w:w="60.0" w:type="dxa"/>
              <w:bottom w:w="60.0" w:type="dxa"/>
              <w:right w:w="60.0" w:type="dxa"/>
            </w:tcMar>
            <w:vAlign w:val="center"/>
          </w:tcPr>
          <w:p w:rsidR="00000000" w:rsidDel="00000000" w:rsidP="00000000" w:rsidRDefault="00000000" w:rsidRPr="00000000" w14:paraId="00000029">
            <w:pPr>
              <w:rPr>
                <w:b w:val="1"/>
                <w:color w:val="ffffff"/>
                <w:sz w:val="17"/>
                <w:szCs w:val="17"/>
              </w:rPr>
            </w:pPr>
            <w:r w:rsidDel="00000000" w:rsidR="00000000" w:rsidRPr="00000000">
              <w:rPr>
                <w:b w:val="1"/>
                <w:color w:val="ffffff"/>
                <w:sz w:val="17"/>
                <w:szCs w:val="17"/>
                <w:rtl w:val="0"/>
              </w:rPr>
              <w:t xml:space="preserve">Name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2A">
            <w:pPr>
              <w:rPr>
                <w:i w:val="1"/>
                <w:sz w:val="17"/>
                <w:szCs w:val="17"/>
              </w:rPr>
            </w:pPr>
            <w:r w:rsidDel="00000000" w:rsidR="00000000" w:rsidRPr="00000000">
              <w:rPr>
                <w:b w:val="1"/>
                <w:i w:val="1"/>
                <w:sz w:val="17"/>
                <w:szCs w:val="17"/>
                <w:rtl w:val="0"/>
              </w:rPr>
              <w:t xml:space="preserve">SQL Injection found on */WebGoat/start.mvc#lesson/SqlInjectionAdvanced.lesson/2</w:t>
            </w:r>
            <w:r w:rsidDel="00000000" w:rsidR="00000000" w:rsidRPr="00000000">
              <w:rPr>
                <w:rtl w:val="0"/>
              </w:rPr>
            </w:r>
          </w:p>
        </w:tc>
      </w:tr>
      <w:tr>
        <w:trPr>
          <w:cantSplit w:val="0"/>
          <w:trHeight w:val="510" w:hRule="atLeast"/>
          <w:tblHeader w:val="0"/>
        </w:trPr>
        <w:tc>
          <w:tcPr>
            <w:tcBorders>
              <w:top w:color="000000" w:space="0" w:sz="6" w:val="single"/>
              <w:left w:color="000000" w:space="0" w:sz="6" w:val="single"/>
              <w:bottom w:color="000000" w:space="0" w:sz="6" w:val="single"/>
              <w:right w:color="000000" w:space="0" w:sz="6" w:val="single"/>
            </w:tcBorders>
            <w:shd w:fill="020240" w:val="clear"/>
            <w:tcMar>
              <w:top w:w="60.0" w:type="dxa"/>
              <w:left w:w="60.0" w:type="dxa"/>
              <w:bottom w:w="60.0" w:type="dxa"/>
              <w:right w:w="60.0" w:type="dxa"/>
            </w:tcMar>
            <w:vAlign w:val="center"/>
          </w:tcPr>
          <w:p w:rsidR="00000000" w:rsidDel="00000000" w:rsidP="00000000" w:rsidRDefault="00000000" w:rsidRPr="00000000" w14:paraId="0000002B">
            <w:pPr>
              <w:rPr>
                <w:b w:val="1"/>
                <w:color w:val="ffffff"/>
                <w:sz w:val="17"/>
                <w:szCs w:val="17"/>
              </w:rPr>
            </w:pPr>
            <w:r w:rsidDel="00000000" w:rsidR="00000000" w:rsidRPr="00000000">
              <w:rPr>
                <w:b w:val="1"/>
                <w:color w:val="ffffff"/>
                <w:sz w:val="17"/>
                <w:szCs w:val="17"/>
                <w:rtl w:val="0"/>
              </w:rPr>
              <w:t xml:space="preserve">Severity Level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2C">
            <w:pPr>
              <w:rPr>
                <w:i w:val="1"/>
                <w:sz w:val="17"/>
                <w:szCs w:val="17"/>
              </w:rPr>
            </w:pPr>
            <w:r w:rsidDel="00000000" w:rsidR="00000000" w:rsidRPr="00000000">
              <w:rPr>
                <w:b w:val="1"/>
                <w:i w:val="1"/>
                <w:sz w:val="17"/>
                <w:szCs w:val="17"/>
                <w:rtl w:val="0"/>
              </w:rPr>
              <w:t xml:space="preserve">High</w:t>
            </w:r>
            <w:r w:rsidDel="00000000" w:rsidR="00000000" w:rsidRPr="00000000">
              <w:rPr>
                <w:rtl w:val="0"/>
              </w:rPr>
            </w:r>
          </w:p>
        </w:tc>
      </w:tr>
      <w:tr>
        <w:trPr>
          <w:cantSplit w:val="0"/>
          <w:trHeight w:val="510" w:hRule="atLeast"/>
          <w:tblHeader w:val="0"/>
        </w:trPr>
        <w:tc>
          <w:tcPr>
            <w:tcBorders>
              <w:top w:color="000000" w:space="0" w:sz="6" w:val="single"/>
              <w:left w:color="000000" w:space="0" w:sz="6" w:val="single"/>
              <w:bottom w:color="000000" w:space="0" w:sz="6" w:val="single"/>
              <w:right w:color="000000" w:space="0" w:sz="6" w:val="single"/>
            </w:tcBorders>
            <w:shd w:fill="020240" w:val="clear"/>
            <w:tcMar>
              <w:top w:w="60.0" w:type="dxa"/>
              <w:left w:w="60.0" w:type="dxa"/>
              <w:bottom w:w="60.0" w:type="dxa"/>
              <w:right w:w="60.0" w:type="dxa"/>
            </w:tcMar>
            <w:vAlign w:val="center"/>
          </w:tcPr>
          <w:p w:rsidR="00000000" w:rsidDel="00000000" w:rsidP="00000000" w:rsidRDefault="00000000" w:rsidRPr="00000000" w14:paraId="0000002D">
            <w:pPr>
              <w:rPr>
                <w:b w:val="1"/>
                <w:color w:val="ffffff"/>
                <w:sz w:val="17"/>
                <w:szCs w:val="17"/>
              </w:rPr>
            </w:pPr>
            <w:r w:rsidDel="00000000" w:rsidR="00000000" w:rsidRPr="00000000">
              <w:rPr>
                <w:b w:val="1"/>
                <w:color w:val="ffffff"/>
                <w:sz w:val="17"/>
                <w:szCs w:val="17"/>
                <w:rtl w:val="0"/>
              </w:rPr>
              <w:t xml:space="preserve">Description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2E">
            <w:pPr>
              <w:rPr>
                <w:i w:val="1"/>
                <w:sz w:val="17"/>
                <w:szCs w:val="17"/>
              </w:rPr>
            </w:pPr>
            <w:r w:rsidDel="00000000" w:rsidR="00000000" w:rsidRPr="00000000">
              <w:rPr>
                <w:b w:val="1"/>
                <w:i w:val="1"/>
                <w:sz w:val="17"/>
                <w:szCs w:val="17"/>
                <w:rtl w:val="0"/>
              </w:rPr>
              <w:t xml:space="preserve">It was found that the /WebGoat/start.mvc#lesson/SqlInjectionAdvanced.lesson/2 in the Web Goat application is vulnerable to SQL Injection. This vulnerability leads to complete disclosure of the application database including: usernames, passwords, credit information, and other PII. </w:t>
            </w:r>
            <w:r w:rsidDel="00000000" w:rsidR="00000000" w:rsidRPr="00000000">
              <w:rPr>
                <w:rtl w:val="0"/>
              </w:rPr>
            </w:r>
          </w:p>
        </w:tc>
      </w:tr>
      <w:tr>
        <w:trPr>
          <w:cantSplit w:val="0"/>
          <w:trHeight w:val="1080" w:hRule="atLeast"/>
          <w:tblHeader w:val="0"/>
        </w:trPr>
        <w:tc>
          <w:tcPr>
            <w:tcBorders>
              <w:top w:color="000000" w:space="0" w:sz="6" w:val="single"/>
              <w:left w:color="000000" w:space="0" w:sz="6" w:val="single"/>
              <w:bottom w:color="000000" w:space="0" w:sz="6" w:val="single"/>
              <w:right w:color="000000" w:space="0" w:sz="6" w:val="single"/>
            </w:tcBorders>
            <w:shd w:fill="020240" w:val="clear"/>
            <w:tcMar>
              <w:top w:w="60.0" w:type="dxa"/>
              <w:left w:w="60.0" w:type="dxa"/>
              <w:bottom w:w="60.0" w:type="dxa"/>
              <w:right w:w="60.0" w:type="dxa"/>
            </w:tcMar>
            <w:vAlign w:val="center"/>
          </w:tcPr>
          <w:p w:rsidR="00000000" w:rsidDel="00000000" w:rsidP="00000000" w:rsidRDefault="00000000" w:rsidRPr="00000000" w14:paraId="0000002F">
            <w:pPr>
              <w:rPr>
                <w:b w:val="1"/>
                <w:color w:val="ffffff"/>
                <w:sz w:val="17"/>
                <w:szCs w:val="17"/>
              </w:rPr>
            </w:pPr>
            <w:r w:rsidDel="00000000" w:rsidR="00000000" w:rsidRPr="00000000">
              <w:rPr>
                <w:b w:val="1"/>
                <w:color w:val="ffffff"/>
                <w:sz w:val="17"/>
                <w:szCs w:val="17"/>
                <w:rtl w:val="0"/>
              </w:rPr>
              <w:t xml:space="preserve">Evidence of Validation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30">
            <w:pPr>
              <w:rPr>
                <w:b w:val="1"/>
                <w:i w:val="1"/>
                <w:sz w:val="17"/>
                <w:szCs w:val="17"/>
              </w:rPr>
            </w:pPr>
            <w:r w:rsidDel="00000000" w:rsidR="00000000" w:rsidRPr="00000000">
              <w:rPr>
                <w:b w:val="1"/>
                <w:i w:val="1"/>
                <w:sz w:val="17"/>
                <w:szCs w:val="17"/>
                <w:rtl w:val="0"/>
              </w:rPr>
              <w:t xml:space="preserve">POC Payload Used: a' OR 1=1 UNION select userid as ui, user_name, password, cookie, NULL AS "test", NULL AS "tess", NULL AS "monkey" from user_system_data -- </w:t>
            </w:r>
          </w:p>
          <w:p w:rsidR="00000000" w:rsidDel="00000000" w:rsidP="00000000" w:rsidRDefault="00000000" w:rsidRPr="00000000" w14:paraId="00000031">
            <w:pPr>
              <w:rPr>
                <w:b w:val="1"/>
                <w:i w:val="1"/>
                <w:sz w:val="17"/>
                <w:szCs w:val="17"/>
              </w:rPr>
            </w:pPr>
            <w:r w:rsidDel="00000000" w:rsidR="00000000" w:rsidRPr="00000000">
              <w:rPr>
                <w:rtl w:val="0"/>
              </w:rPr>
            </w:r>
          </w:p>
          <w:p w:rsidR="00000000" w:rsidDel="00000000" w:rsidP="00000000" w:rsidRDefault="00000000" w:rsidRPr="00000000" w14:paraId="00000032">
            <w:pPr>
              <w:numPr>
                <w:ilvl w:val="0"/>
                <w:numId w:val="3"/>
              </w:numPr>
              <w:ind w:left="720" w:hanging="360"/>
              <w:rPr>
                <w:b w:val="1"/>
                <w:i w:val="1"/>
                <w:sz w:val="17"/>
                <w:szCs w:val="17"/>
                <w:u w:val="none"/>
              </w:rPr>
            </w:pPr>
            <w:r w:rsidDel="00000000" w:rsidR="00000000" w:rsidRPr="00000000">
              <w:rPr>
                <w:b w:val="1"/>
                <w:i w:val="1"/>
                <w:sz w:val="17"/>
                <w:szCs w:val="17"/>
                <w:rtl w:val="0"/>
              </w:rPr>
              <w:t xml:space="preserve">BurpSuite being used to capture the vulnerable request:</w:t>
            </w:r>
          </w:p>
          <w:p w:rsidR="00000000" w:rsidDel="00000000" w:rsidP="00000000" w:rsidRDefault="00000000" w:rsidRPr="00000000" w14:paraId="00000033">
            <w:pPr>
              <w:rPr>
                <w:b w:val="1"/>
                <w:i w:val="1"/>
                <w:sz w:val="17"/>
                <w:szCs w:val="17"/>
              </w:rPr>
            </w:pPr>
            <w:r w:rsidDel="00000000" w:rsidR="00000000" w:rsidRPr="00000000">
              <w:rPr>
                <w:b w:val="1"/>
                <w:i w:val="1"/>
                <w:sz w:val="17"/>
                <w:szCs w:val="17"/>
              </w:rPr>
              <w:drawing>
                <wp:inline distB="114300" distT="114300" distL="114300" distR="114300">
                  <wp:extent cx="4381500" cy="2082800"/>
                  <wp:effectExtent b="0" l="0" r="0" t="0"/>
                  <wp:docPr id="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381500" cy="20828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b w:val="1"/>
                <w:i w:val="1"/>
                <w:sz w:val="17"/>
                <w:szCs w:val="17"/>
              </w:rPr>
            </w:pPr>
            <w:r w:rsidDel="00000000" w:rsidR="00000000" w:rsidRPr="00000000">
              <w:rPr>
                <w:rtl w:val="0"/>
              </w:rPr>
            </w:r>
          </w:p>
          <w:p w:rsidR="00000000" w:rsidDel="00000000" w:rsidP="00000000" w:rsidRDefault="00000000" w:rsidRPr="00000000" w14:paraId="00000035">
            <w:pPr>
              <w:numPr>
                <w:ilvl w:val="0"/>
                <w:numId w:val="3"/>
              </w:numPr>
              <w:ind w:left="720" w:hanging="360"/>
              <w:rPr>
                <w:b w:val="1"/>
                <w:i w:val="1"/>
                <w:sz w:val="17"/>
                <w:szCs w:val="17"/>
                <w:u w:val="none"/>
              </w:rPr>
            </w:pPr>
            <w:r w:rsidDel="00000000" w:rsidR="00000000" w:rsidRPr="00000000">
              <w:rPr>
                <w:b w:val="1"/>
                <w:i w:val="1"/>
                <w:sz w:val="17"/>
                <w:szCs w:val="17"/>
                <w:rtl w:val="0"/>
              </w:rPr>
              <w:t xml:space="preserve">BurpSuite being used to exploit the vulnerability leaking all data in the application:</w:t>
            </w:r>
          </w:p>
          <w:p w:rsidR="00000000" w:rsidDel="00000000" w:rsidP="00000000" w:rsidRDefault="00000000" w:rsidRPr="00000000" w14:paraId="00000036">
            <w:pPr>
              <w:rPr>
                <w:b w:val="1"/>
                <w:i w:val="1"/>
                <w:sz w:val="17"/>
                <w:szCs w:val="17"/>
              </w:rPr>
            </w:pPr>
            <w:r w:rsidDel="00000000" w:rsidR="00000000" w:rsidRPr="00000000">
              <w:rPr>
                <w:b w:val="1"/>
                <w:i w:val="1"/>
                <w:sz w:val="17"/>
                <w:szCs w:val="17"/>
              </w:rPr>
              <w:drawing>
                <wp:inline distB="114300" distT="114300" distL="114300" distR="114300">
                  <wp:extent cx="4381500" cy="3429000"/>
                  <wp:effectExtent b="0" l="0" r="0" t="0"/>
                  <wp:docPr id="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4381500" cy="3429000"/>
                          </a:xfrm>
                          <a:prstGeom prst="rect"/>
                          <a:ln/>
                        </pic:spPr>
                      </pic:pic>
                    </a:graphicData>
                  </a:graphic>
                </wp:inline>
              </w:drawing>
            </w:r>
            <w:r w:rsidDel="00000000" w:rsidR="00000000" w:rsidRPr="00000000">
              <w:rPr>
                <w:rtl w:val="0"/>
              </w:rPr>
            </w:r>
          </w:p>
        </w:tc>
      </w:tr>
      <w:tr>
        <w:trPr>
          <w:cantSplit w:val="0"/>
          <w:trHeight w:val="1080" w:hRule="atLeast"/>
          <w:tblHeader w:val="0"/>
        </w:trPr>
        <w:tc>
          <w:tcPr>
            <w:tcBorders>
              <w:top w:color="000000" w:space="0" w:sz="6" w:val="single"/>
              <w:left w:color="000000" w:space="0" w:sz="6" w:val="single"/>
              <w:bottom w:color="000000" w:space="0" w:sz="6" w:val="single"/>
              <w:right w:color="000000" w:space="0" w:sz="6" w:val="single"/>
            </w:tcBorders>
            <w:shd w:fill="020240" w:val="clear"/>
            <w:tcMar>
              <w:top w:w="60.0" w:type="dxa"/>
              <w:left w:w="60.0" w:type="dxa"/>
              <w:bottom w:w="60.0" w:type="dxa"/>
              <w:right w:w="60.0" w:type="dxa"/>
            </w:tcMar>
            <w:vAlign w:val="center"/>
          </w:tcPr>
          <w:p w:rsidR="00000000" w:rsidDel="00000000" w:rsidP="00000000" w:rsidRDefault="00000000" w:rsidRPr="00000000" w14:paraId="00000037">
            <w:pPr>
              <w:rPr>
                <w:b w:val="1"/>
                <w:color w:val="ffffff"/>
                <w:sz w:val="17"/>
                <w:szCs w:val="17"/>
              </w:rPr>
            </w:pPr>
            <w:r w:rsidDel="00000000" w:rsidR="00000000" w:rsidRPr="00000000">
              <w:rPr>
                <w:b w:val="1"/>
                <w:color w:val="ffffff"/>
                <w:sz w:val="17"/>
                <w:szCs w:val="17"/>
                <w:rtl w:val="0"/>
              </w:rPr>
              <w:t xml:space="preserve">Steps to Reproduce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38">
            <w:pPr>
              <w:numPr>
                <w:ilvl w:val="0"/>
                <w:numId w:val="4"/>
              </w:numPr>
              <w:ind w:left="720" w:hanging="360"/>
              <w:rPr>
                <w:b w:val="1"/>
                <w:i w:val="1"/>
                <w:sz w:val="17"/>
                <w:szCs w:val="17"/>
                <w:u w:val="none"/>
              </w:rPr>
            </w:pPr>
            <w:r w:rsidDel="00000000" w:rsidR="00000000" w:rsidRPr="00000000">
              <w:rPr>
                <w:b w:val="1"/>
                <w:i w:val="1"/>
                <w:sz w:val="17"/>
                <w:szCs w:val="17"/>
                <w:rtl w:val="0"/>
              </w:rPr>
              <w:t xml:space="preserve">Log in to the Webgoat application as any existing user or register a new user</w:t>
            </w:r>
          </w:p>
          <w:p w:rsidR="00000000" w:rsidDel="00000000" w:rsidP="00000000" w:rsidRDefault="00000000" w:rsidRPr="00000000" w14:paraId="00000039">
            <w:pPr>
              <w:numPr>
                <w:ilvl w:val="0"/>
                <w:numId w:val="4"/>
              </w:numPr>
              <w:ind w:left="720" w:hanging="360"/>
              <w:rPr>
                <w:b w:val="1"/>
                <w:i w:val="1"/>
                <w:sz w:val="17"/>
                <w:szCs w:val="17"/>
              </w:rPr>
            </w:pPr>
            <w:r w:rsidDel="00000000" w:rsidR="00000000" w:rsidRPr="00000000">
              <w:rPr>
                <w:b w:val="1"/>
                <w:i w:val="1"/>
                <w:sz w:val="17"/>
                <w:szCs w:val="17"/>
                <w:rtl w:val="0"/>
              </w:rPr>
              <w:t xml:space="preserve">Click on the “3. Injection” menu option and select “SQL Injection (Advanced)”</w:t>
            </w:r>
          </w:p>
          <w:p w:rsidR="00000000" w:rsidDel="00000000" w:rsidP="00000000" w:rsidRDefault="00000000" w:rsidRPr="00000000" w14:paraId="0000003A">
            <w:pPr>
              <w:numPr>
                <w:ilvl w:val="0"/>
                <w:numId w:val="4"/>
              </w:numPr>
              <w:ind w:left="720" w:hanging="360"/>
              <w:rPr>
                <w:b w:val="1"/>
                <w:i w:val="1"/>
                <w:sz w:val="17"/>
                <w:szCs w:val="17"/>
                <w:u w:val="none"/>
              </w:rPr>
            </w:pPr>
            <w:r w:rsidDel="00000000" w:rsidR="00000000" w:rsidRPr="00000000">
              <w:rPr>
                <w:b w:val="1"/>
                <w:i w:val="1"/>
                <w:sz w:val="17"/>
                <w:szCs w:val="17"/>
                <w:rtl w:val="0"/>
              </w:rPr>
              <w:t xml:space="preserve">Click on the 3 at the top of the screen</w:t>
            </w:r>
          </w:p>
          <w:p w:rsidR="00000000" w:rsidDel="00000000" w:rsidP="00000000" w:rsidRDefault="00000000" w:rsidRPr="00000000" w14:paraId="0000003B">
            <w:pPr>
              <w:numPr>
                <w:ilvl w:val="0"/>
                <w:numId w:val="4"/>
              </w:numPr>
              <w:ind w:left="720" w:hanging="360"/>
              <w:rPr>
                <w:b w:val="1"/>
                <w:i w:val="1"/>
                <w:sz w:val="17"/>
                <w:szCs w:val="17"/>
                <w:u w:val="none"/>
              </w:rPr>
            </w:pPr>
            <w:r w:rsidDel="00000000" w:rsidR="00000000" w:rsidRPr="00000000">
              <w:rPr>
                <w:b w:val="1"/>
                <w:i w:val="1"/>
                <w:sz w:val="17"/>
                <w:szCs w:val="17"/>
                <w:rtl w:val="0"/>
              </w:rPr>
              <w:t xml:space="preserve">Prepare BurpSuite or any other similar traffic proxy to capture traffic</w:t>
            </w:r>
          </w:p>
          <w:p w:rsidR="00000000" w:rsidDel="00000000" w:rsidP="00000000" w:rsidRDefault="00000000" w:rsidRPr="00000000" w14:paraId="0000003C">
            <w:pPr>
              <w:numPr>
                <w:ilvl w:val="0"/>
                <w:numId w:val="4"/>
              </w:numPr>
              <w:ind w:left="720" w:hanging="360"/>
              <w:rPr>
                <w:b w:val="1"/>
                <w:i w:val="1"/>
                <w:sz w:val="17"/>
                <w:szCs w:val="17"/>
                <w:u w:val="none"/>
              </w:rPr>
            </w:pPr>
            <w:r w:rsidDel="00000000" w:rsidR="00000000" w:rsidRPr="00000000">
              <w:rPr>
                <w:b w:val="1"/>
                <w:i w:val="1"/>
                <w:sz w:val="17"/>
                <w:szCs w:val="17"/>
                <w:rtl w:val="0"/>
              </w:rPr>
              <w:t xml:space="preserve">Put any data into the “Name” field and click “Get Account Info”</w:t>
            </w:r>
          </w:p>
          <w:p w:rsidR="00000000" w:rsidDel="00000000" w:rsidP="00000000" w:rsidRDefault="00000000" w:rsidRPr="00000000" w14:paraId="0000003D">
            <w:pPr>
              <w:numPr>
                <w:ilvl w:val="0"/>
                <w:numId w:val="4"/>
              </w:numPr>
              <w:ind w:left="720" w:hanging="360"/>
              <w:rPr>
                <w:b w:val="1"/>
                <w:i w:val="1"/>
                <w:sz w:val="17"/>
                <w:szCs w:val="17"/>
                <w:u w:val="none"/>
              </w:rPr>
            </w:pPr>
            <w:r w:rsidDel="00000000" w:rsidR="00000000" w:rsidRPr="00000000">
              <w:rPr>
                <w:b w:val="1"/>
                <w:i w:val="1"/>
                <w:sz w:val="17"/>
                <w:szCs w:val="17"/>
                <w:rtl w:val="0"/>
              </w:rPr>
              <w:t xml:space="preserve">Locate the POST request to “/WebGoat/SqlInjectionAdvanced/attack6a” that was just sent</w:t>
            </w:r>
          </w:p>
          <w:p w:rsidR="00000000" w:rsidDel="00000000" w:rsidP="00000000" w:rsidRDefault="00000000" w:rsidRPr="00000000" w14:paraId="0000003E">
            <w:pPr>
              <w:numPr>
                <w:ilvl w:val="0"/>
                <w:numId w:val="4"/>
              </w:numPr>
              <w:ind w:left="720" w:hanging="360"/>
              <w:rPr>
                <w:b w:val="1"/>
                <w:i w:val="1"/>
                <w:sz w:val="17"/>
                <w:szCs w:val="17"/>
                <w:u w:val="none"/>
              </w:rPr>
            </w:pPr>
            <w:r w:rsidDel="00000000" w:rsidR="00000000" w:rsidRPr="00000000">
              <w:rPr>
                <w:b w:val="1"/>
                <w:i w:val="1"/>
                <w:sz w:val="17"/>
                <w:szCs w:val="17"/>
                <w:rtl w:val="0"/>
              </w:rPr>
              <w:t xml:space="preserve">Observe the query in the response as seen in image “1” above</w:t>
            </w:r>
          </w:p>
          <w:p w:rsidR="00000000" w:rsidDel="00000000" w:rsidP="00000000" w:rsidRDefault="00000000" w:rsidRPr="00000000" w14:paraId="0000003F">
            <w:pPr>
              <w:numPr>
                <w:ilvl w:val="0"/>
                <w:numId w:val="4"/>
              </w:numPr>
              <w:ind w:left="720" w:hanging="360"/>
              <w:rPr>
                <w:b w:val="1"/>
                <w:i w:val="1"/>
                <w:sz w:val="17"/>
                <w:szCs w:val="17"/>
                <w:u w:val="none"/>
              </w:rPr>
            </w:pPr>
            <w:r w:rsidDel="00000000" w:rsidR="00000000" w:rsidRPr="00000000">
              <w:rPr>
                <w:b w:val="1"/>
                <w:i w:val="1"/>
                <w:sz w:val="17"/>
                <w:szCs w:val="17"/>
                <w:rtl w:val="0"/>
              </w:rPr>
              <w:t xml:space="preserve">Send the request to BurpSuite repeater</w:t>
            </w:r>
          </w:p>
          <w:p w:rsidR="00000000" w:rsidDel="00000000" w:rsidP="00000000" w:rsidRDefault="00000000" w:rsidRPr="00000000" w14:paraId="00000040">
            <w:pPr>
              <w:numPr>
                <w:ilvl w:val="0"/>
                <w:numId w:val="4"/>
              </w:numPr>
              <w:ind w:left="720" w:hanging="360"/>
              <w:rPr>
                <w:b w:val="1"/>
                <w:i w:val="1"/>
                <w:sz w:val="17"/>
                <w:szCs w:val="17"/>
                <w:u w:val="none"/>
              </w:rPr>
            </w:pPr>
            <w:r w:rsidDel="00000000" w:rsidR="00000000" w:rsidRPr="00000000">
              <w:rPr>
                <w:b w:val="1"/>
                <w:i w:val="1"/>
                <w:sz w:val="17"/>
                <w:szCs w:val="17"/>
                <w:rtl w:val="0"/>
              </w:rPr>
              <w:t xml:space="preserve">Replace the value of the parameter “userid_6a” with the PoC payload and send the request</w:t>
            </w:r>
          </w:p>
          <w:p w:rsidR="00000000" w:rsidDel="00000000" w:rsidP="00000000" w:rsidRDefault="00000000" w:rsidRPr="00000000" w14:paraId="00000041">
            <w:pPr>
              <w:numPr>
                <w:ilvl w:val="0"/>
                <w:numId w:val="4"/>
              </w:numPr>
              <w:ind w:left="720" w:hanging="360"/>
              <w:rPr>
                <w:b w:val="1"/>
                <w:i w:val="1"/>
                <w:sz w:val="17"/>
                <w:szCs w:val="17"/>
                <w:u w:val="none"/>
              </w:rPr>
            </w:pPr>
            <w:r w:rsidDel="00000000" w:rsidR="00000000" w:rsidRPr="00000000">
              <w:rPr>
                <w:b w:val="1"/>
                <w:i w:val="1"/>
                <w:sz w:val="17"/>
                <w:szCs w:val="17"/>
                <w:rtl w:val="0"/>
              </w:rPr>
              <w:t xml:space="preserve">Observe the complete contents of the table as displayed in image “2”</w:t>
            </w:r>
          </w:p>
        </w:tc>
      </w:tr>
    </w:tbl>
    <w:p w:rsidR="00000000" w:rsidDel="00000000" w:rsidP="00000000" w:rsidRDefault="00000000" w:rsidRPr="00000000" w14:paraId="00000042">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image" Target="media/image3.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orum.appian.com/suite/sites/myappian/page/support/" TargetMode="External"/><Relationship Id="rId5" Type="http://schemas.openxmlformats.org/officeDocument/2006/relationships/styles" Target="styles.xml"/><Relationship Id="rId6" Type="http://schemas.openxmlformats.org/officeDocument/2006/relationships/hyperlink" Target="https://community.appian.com/support/w/kb/762/kb-1447-vulnerability-testing" TargetMode="External"/><Relationship Id="rId7" Type="http://schemas.openxmlformats.org/officeDocument/2006/relationships/hyperlink" Target="https://community.appian.com/support/w/kb/762/kb-1447-vulnerability-testing" TargetMode="External"/><Relationship Id="rId8" Type="http://schemas.openxmlformats.org/officeDocument/2006/relationships/hyperlink" Target="https://forum.appian.com/suite/sites/myappian/page/suppor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